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5C0C" w:rsidRPr="00F71D91" w:rsidRDefault="00415C0C" w:rsidP="006525EC">
      <w:pPr>
        <w:spacing w:after="0" w:line="240" w:lineRule="auto"/>
        <w:rPr>
          <w:rFonts w:ascii="Times New Roman" w:hAnsi="Times New Roman" w:cs="Times New Roman"/>
          <w:sz w:val="20"/>
          <w:szCs w:val="20"/>
        </w:rPr>
        <w:sectPr w:rsidR="00415C0C" w:rsidRPr="00F71D91" w:rsidSect="00AE6222">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NumType w:start="1"/>
          <w:cols w:space="720"/>
          <w:docGrid w:linePitch="360"/>
        </w:sectPr>
      </w:pPr>
    </w:p>
    <w:p w:rsidR="00A742C9" w:rsidRDefault="00AA648F" w:rsidP="006525EC">
      <w:pPr>
        <w:spacing w:after="0" w:line="240" w:lineRule="auto"/>
        <w:rPr>
          <w:rFonts w:ascii="Times New Roman" w:hAnsi="Times New Roman" w:cs="Times New Roman"/>
          <w:bCs/>
          <w:sz w:val="24"/>
          <w:szCs w:val="24"/>
          <w:lang w:val="en-GB"/>
        </w:rPr>
      </w:pPr>
      <w:r w:rsidRPr="00AA648F">
        <w:rPr>
          <w:rFonts w:ascii="Times New Roman" w:hAnsi="Times New Roman" w:cs="Times New Roman"/>
          <w:b/>
          <w:sz w:val="28"/>
          <w:szCs w:val="28"/>
          <w:lang w:val="en-GB"/>
        </w:rPr>
        <w:t>THE EFFECT OF USING PET-CT FUSION ON TARGET VOLUME DELINEATION AND DOSE TO ORGANS AT RISK IN 3D RADIOTHERAPY PLANNING OF PATIENTS WITH NSSLC</w:t>
      </w:r>
    </w:p>
    <w:p w:rsidR="006525EC" w:rsidRDefault="006525EC" w:rsidP="006525EC">
      <w:pPr>
        <w:autoSpaceDE w:val="0"/>
        <w:autoSpaceDN w:val="0"/>
        <w:adjustRightInd w:val="0"/>
        <w:spacing w:after="0" w:line="240" w:lineRule="auto"/>
        <w:rPr>
          <w:rFonts w:ascii="Times New Roman" w:hAnsi="Times New Roman" w:cs="Times New Roman"/>
          <w:b/>
          <w:bCs/>
          <w:sz w:val="24"/>
          <w:szCs w:val="24"/>
          <w:lang w:val="en-GB"/>
        </w:rPr>
      </w:pPr>
    </w:p>
    <w:p w:rsidR="003F32D3" w:rsidRPr="00AA648F" w:rsidRDefault="00AA648F" w:rsidP="006525EC">
      <w:pPr>
        <w:autoSpaceDE w:val="0"/>
        <w:autoSpaceDN w:val="0"/>
        <w:adjustRightInd w:val="0"/>
        <w:spacing w:after="0" w:line="240" w:lineRule="auto"/>
        <w:rPr>
          <w:rFonts w:asciiTheme="majorBidi" w:hAnsiTheme="majorBidi" w:cstheme="majorBidi"/>
          <w:b/>
          <w:color w:val="000000"/>
          <w:sz w:val="18"/>
          <w:szCs w:val="18"/>
        </w:rPr>
      </w:pPr>
      <w:r w:rsidRPr="00AA648F">
        <w:rPr>
          <w:rFonts w:ascii="Times New Roman" w:hAnsi="Times New Roman" w:cs="Times New Roman"/>
          <w:b/>
          <w:bCs/>
          <w:sz w:val="24"/>
          <w:szCs w:val="24"/>
          <w:lang w:val="en-GB"/>
        </w:rPr>
        <w:t>Hana Al-Mahasneh,M.D</w:t>
      </w:r>
      <w:r>
        <w:rPr>
          <w:rFonts w:ascii="Times New Roman" w:hAnsi="Times New Roman" w:cs="Times New Roman"/>
          <w:b/>
          <w:bCs/>
          <w:sz w:val="24"/>
          <w:szCs w:val="24"/>
          <w:lang w:val="en-GB"/>
        </w:rPr>
        <w:t>*</w:t>
      </w:r>
      <w:r w:rsidRPr="00AA648F">
        <w:rPr>
          <w:rFonts w:ascii="Times New Roman" w:hAnsi="Times New Roman" w:cs="Times New Roman"/>
          <w:b/>
          <w:bCs/>
          <w:sz w:val="24"/>
          <w:szCs w:val="24"/>
          <w:lang w:val="en-GB"/>
        </w:rPr>
        <w:t>., Mohammad Khalaf Al-Fraessan, M.R.N, Abeer Khaleel Qtaifan, Rradiotherapist , Rana Rawajfeh, Rradiotherapist</w:t>
      </w:r>
    </w:p>
    <w:p w:rsidR="00554B62" w:rsidRPr="00A046E4" w:rsidRDefault="00AA648F" w:rsidP="006525EC">
      <w:pPr>
        <w:autoSpaceDE w:val="0"/>
        <w:autoSpaceDN w:val="0"/>
        <w:adjustRightInd w:val="0"/>
        <w:spacing w:after="0" w:line="240" w:lineRule="auto"/>
        <w:rPr>
          <w:rFonts w:asciiTheme="majorBidi" w:hAnsiTheme="majorBidi" w:cstheme="majorBidi"/>
          <w:color w:val="000000"/>
          <w:sz w:val="20"/>
          <w:szCs w:val="20"/>
        </w:rPr>
      </w:pPr>
      <w:r>
        <w:rPr>
          <w:rFonts w:asciiTheme="majorBidi" w:hAnsiTheme="majorBidi" w:cstheme="majorBidi"/>
          <w:color w:val="000000"/>
          <w:sz w:val="20"/>
          <w:szCs w:val="20"/>
          <w:vertAlign w:val="superscript"/>
        </w:rPr>
        <w:t>*</w:t>
      </w:r>
      <w:r w:rsidRPr="00AA648F">
        <w:t xml:space="preserve"> </w:t>
      </w:r>
      <w:r w:rsidRPr="00AA648F">
        <w:rPr>
          <w:rFonts w:asciiTheme="majorBidi" w:hAnsiTheme="majorBidi" w:cstheme="majorBidi"/>
          <w:color w:val="000000"/>
          <w:sz w:val="20"/>
          <w:szCs w:val="20"/>
        </w:rPr>
        <w:t>Radiation Oncology Department, Oncology Center, Queen Alia Hospital, Royal Medical Services, Amman, Jordan</w:t>
      </w:r>
    </w:p>
    <w:p w:rsidR="003F32D3" w:rsidRPr="008F0FD9" w:rsidRDefault="003F32D3" w:rsidP="006525EC">
      <w:pPr>
        <w:spacing w:after="0" w:line="240" w:lineRule="auto"/>
        <w:rPr>
          <w:rFonts w:asciiTheme="majorBidi" w:hAnsiTheme="majorBidi" w:cstheme="majorBidi"/>
          <w:color w:val="000000"/>
          <w:sz w:val="20"/>
          <w:szCs w:val="20"/>
        </w:rPr>
      </w:pPr>
    </w:p>
    <w:tbl>
      <w:tblPr>
        <w:tblW w:w="5000" w:type="pct"/>
        <w:tblLook w:val="04A0" w:firstRow="1" w:lastRow="0" w:firstColumn="1" w:lastColumn="0" w:noHBand="0" w:noVBand="1"/>
      </w:tblPr>
      <w:tblGrid>
        <w:gridCol w:w="2461"/>
        <w:gridCol w:w="7115"/>
      </w:tblGrid>
      <w:tr w:rsidR="003F32D3" w:rsidRPr="00FD43A3" w:rsidTr="00FB3F95">
        <w:trPr>
          <w:trHeight w:val="285"/>
        </w:trPr>
        <w:tc>
          <w:tcPr>
            <w:tcW w:w="1285" w:type="pct"/>
            <w:shd w:val="clear" w:color="auto" w:fill="auto"/>
            <w:vAlign w:val="center"/>
            <w:hideMark/>
          </w:tcPr>
          <w:p w:rsidR="003F32D3" w:rsidRPr="00FD43A3" w:rsidRDefault="003F32D3" w:rsidP="006525EC">
            <w:pPr>
              <w:spacing w:after="0" w:line="240" w:lineRule="auto"/>
              <w:rPr>
                <w:rFonts w:ascii="Times New Roman" w:eastAsia="Times New Roman" w:hAnsi="Times New Roman" w:cs="Times New Roman"/>
                <w:i/>
                <w:iCs/>
                <w:color w:val="000000"/>
                <w:sz w:val="20"/>
                <w:szCs w:val="20"/>
                <w:lang w:bidi="fa-IR"/>
              </w:rPr>
            </w:pPr>
          </w:p>
        </w:tc>
        <w:tc>
          <w:tcPr>
            <w:tcW w:w="3715" w:type="pct"/>
            <w:shd w:val="clear" w:color="auto" w:fill="auto"/>
            <w:vAlign w:val="center"/>
            <w:hideMark/>
          </w:tcPr>
          <w:p w:rsidR="003F32D3" w:rsidRPr="00FD43A3" w:rsidRDefault="003F32D3" w:rsidP="006525EC">
            <w:pPr>
              <w:spacing w:after="0" w:line="240" w:lineRule="auto"/>
              <w:rPr>
                <w:rFonts w:ascii="Times New Roman" w:eastAsia="Times New Roman" w:hAnsi="Times New Roman" w:cs="Times New Roman"/>
                <w:b/>
                <w:bCs/>
                <w:i/>
                <w:iCs/>
                <w:color w:val="000000"/>
                <w:lang w:bidi="fa-IR"/>
              </w:rPr>
            </w:pPr>
          </w:p>
        </w:tc>
      </w:tr>
      <w:tr w:rsidR="003F32D3" w:rsidRPr="00FD43A3" w:rsidTr="00FB3F95">
        <w:trPr>
          <w:trHeight w:val="285"/>
        </w:trPr>
        <w:tc>
          <w:tcPr>
            <w:tcW w:w="1285" w:type="pct"/>
            <w:shd w:val="clear" w:color="auto" w:fill="auto"/>
            <w:vAlign w:val="center"/>
            <w:hideMark/>
          </w:tcPr>
          <w:p w:rsidR="003F32D3" w:rsidRPr="00FD43A3" w:rsidRDefault="003F32D3" w:rsidP="006525EC">
            <w:pPr>
              <w:spacing w:after="0" w:line="240" w:lineRule="auto"/>
              <w:rPr>
                <w:rFonts w:ascii="Times New Roman" w:eastAsia="Times New Roman" w:hAnsi="Times New Roman" w:cs="Times New Roman"/>
                <w:i/>
                <w:iCs/>
                <w:color w:val="000000"/>
                <w:sz w:val="20"/>
                <w:szCs w:val="20"/>
                <w:lang w:bidi="fa-IR"/>
              </w:rPr>
            </w:pPr>
          </w:p>
        </w:tc>
        <w:tc>
          <w:tcPr>
            <w:tcW w:w="3715" w:type="pct"/>
            <w:shd w:val="clear" w:color="auto" w:fill="auto"/>
            <w:vAlign w:val="center"/>
            <w:hideMark/>
          </w:tcPr>
          <w:p w:rsidR="003F32D3" w:rsidRPr="00BC5D0F" w:rsidRDefault="003F32D3" w:rsidP="006525EC">
            <w:pPr>
              <w:spacing w:after="0" w:line="240" w:lineRule="auto"/>
              <w:rPr>
                <w:rFonts w:ascii="Times New Roman" w:eastAsia="Times New Roman" w:hAnsi="Times New Roman" w:cs="Times New Roman"/>
                <w:b/>
                <w:bCs/>
                <w:iCs/>
                <w:color w:val="000000"/>
                <w:sz w:val="24"/>
                <w:szCs w:val="24"/>
                <w:lang w:bidi="fa-IR"/>
              </w:rPr>
            </w:pPr>
            <w:r w:rsidRPr="00BC5D0F">
              <w:rPr>
                <w:rFonts w:ascii="Times New Roman" w:eastAsia="Times New Roman" w:hAnsi="Times New Roman" w:cs="Times New Roman"/>
                <w:b/>
                <w:bCs/>
                <w:iCs/>
                <w:color w:val="000000"/>
                <w:sz w:val="24"/>
                <w:szCs w:val="24"/>
                <w:lang w:bidi="fa-IR"/>
              </w:rPr>
              <w:t> </w:t>
            </w:r>
            <w:r w:rsidR="00BC5D0F" w:rsidRPr="00BC5D0F">
              <w:rPr>
                <w:rFonts w:ascii="Times New Roman" w:eastAsia="Times New Roman" w:hAnsi="Times New Roman" w:cs="Times New Roman"/>
                <w:b/>
                <w:bCs/>
                <w:i/>
                <w:iCs/>
                <w:color w:val="000000"/>
                <w:sz w:val="24"/>
                <w:szCs w:val="24"/>
                <w:lang w:bidi="fa-IR"/>
              </w:rPr>
              <w:t>Abstract</w:t>
            </w:r>
          </w:p>
        </w:tc>
      </w:tr>
      <w:tr w:rsidR="003F32D3" w:rsidRPr="00FD43A3" w:rsidTr="00FB3F95">
        <w:trPr>
          <w:trHeight w:val="1196"/>
        </w:trPr>
        <w:tc>
          <w:tcPr>
            <w:tcW w:w="1285" w:type="pct"/>
            <w:shd w:val="clear" w:color="auto" w:fill="auto"/>
            <w:hideMark/>
          </w:tcPr>
          <w:p w:rsidR="003F32D3" w:rsidRDefault="003F32D3" w:rsidP="006525EC">
            <w:pPr>
              <w:spacing w:after="0" w:line="240" w:lineRule="auto"/>
              <w:rPr>
                <w:rFonts w:ascii="Times New Roman" w:eastAsia="Times New Roman" w:hAnsi="Times New Roman" w:cs="Times New Roman"/>
                <w:b/>
                <w:bCs/>
                <w:i/>
                <w:iCs/>
                <w:color w:val="000000"/>
                <w:sz w:val="20"/>
                <w:szCs w:val="20"/>
                <w:lang w:bidi="fa-IR"/>
              </w:rPr>
            </w:pPr>
          </w:p>
          <w:p w:rsidR="003F32D3" w:rsidRPr="00FD43A3" w:rsidRDefault="003F32D3" w:rsidP="006525EC">
            <w:pPr>
              <w:spacing w:after="0" w:line="240" w:lineRule="auto"/>
              <w:rPr>
                <w:rFonts w:ascii="Times New Roman" w:eastAsia="Times New Roman" w:hAnsi="Times New Roman" w:cs="Times New Roman"/>
                <w:b/>
                <w:bCs/>
                <w:i/>
                <w:iCs/>
                <w:color w:val="000000"/>
                <w:sz w:val="20"/>
                <w:szCs w:val="20"/>
                <w:lang w:bidi="fa-IR"/>
              </w:rPr>
            </w:pPr>
            <w:r w:rsidRPr="00FD43A3">
              <w:rPr>
                <w:rFonts w:ascii="Times New Roman" w:eastAsia="Times New Roman" w:hAnsi="Times New Roman" w:cs="Times New Roman"/>
                <w:b/>
                <w:bCs/>
                <w:i/>
                <w:iCs/>
                <w:color w:val="000000"/>
                <w:sz w:val="20"/>
                <w:szCs w:val="20"/>
                <w:lang w:bidi="fa-IR"/>
              </w:rPr>
              <w:t>Keywords:</w:t>
            </w:r>
            <w:r w:rsidRPr="00FD43A3">
              <w:rPr>
                <w:rFonts w:ascii="Times New Roman" w:eastAsia="Times New Roman" w:hAnsi="Times New Roman" w:cs="Times New Roman"/>
                <w:b/>
                <w:bCs/>
                <w:i/>
                <w:iCs/>
                <w:color w:val="000000"/>
                <w:sz w:val="20"/>
                <w:szCs w:val="20"/>
                <w:lang w:bidi="fa-IR"/>
              </w:rPr>
              <w:br/>
            </w:r>
            <w:r w:rsidR="00AA648F" w:rsidRPr="00AA648F">
              <w:rPr>
                <w:rFonts w:asciiTheme="majorBidi" w:eastAsia="Times New Roman" w:hAnsiTheme="majorBidi" w:cstheme="majorBidi"/>
                <w:i/>
                <w:iCs/>
                <w:color w:val="000000"/>
                <w:sz w:val="20"/>
                <w:szCs w:val="20"/>
                <w:lang w:val="en-GB" w:bidi="fa-IR"/>
              </w:rPr>
              <w:t>Non–small-cell lung cancer, Radiation therapy, Target delineation, FDG-PET</w:t>
            </w:r>
            <w:r w:rsidR="00FB3F95" w:rsidRPr="00FB3F95">
              <w:rPr>
                <w:rFonts w:asciiTheme="majorBidi" w:eastAsia="Times New Roman" w:hAnsiTheme="majorBidi" w:cstheme="majorBidi"/>
                <w:i/>
                <w:iCs/>
                <w:color w:val="000000"/>
                <w:sz w:val="20"/>
                <w:szCs w:val="20"/>
                <w:lang w:val="en-GB" w:bidi="fa-IR"/>
              </w:rPr>
              <w:t>.</w:t>
            </w:r>
          </w:p>
        </w:tc>
        <w:tc>
          <w:tcPr>
            <w:tcW w:w="3715" w:type="pct"/>
            <w:shd w:val="clear" w:color="auto" w:fill="auto"/>
            <w:vAlign w:val="center"/>
            <w:hideMark/>
          </w:tcPr>
          <w:p w:rsidR="00AA648F" w:rsidRPr="00AA648F" w:rsidRDefault="00AA648F" w:rsidP="006525EC">
            <w:pPr>
              <w:spacing w:after="0" w:line="240" w:lineRule="auto"/>
              <w:jc w:val="both"/>
              <w:rPr>
                <w:rFonts w:ascii="Times New Roman" w:eastAsia="Times New Roman" w:hAnsi="Times New Roman" w:cs="Times New Roman"/>
                <w:color w:val="000000"/>
                <w:sz w:val="20"/>
                <w:szCs w:val="20"/>
                <w:lang w:val="en-GB"/>
              </w:rPr>
            </w:pPr>
            <w:r w:rsidRPr="00AA648F">
              <w:rPr>
                <w:rFonts w:ascii="Times New Roman" w:eastAsia="Times New Roman" w:hAnsi="Times New Roman" w:cs="Times New Roman"/>
                <w:b/>
                <w:color w:val="000000"/>
                <w:sz w:val="20"/>
                <w:szCs w:val="20"/>
                <w:lang w:val="en-GB"/>
              </w:rPr>
              <w:t>Background:</w:t>
            </w:r>
            <w:r w:rsidRPr="00AA648F">
              <w:rPr>
                <w:rFonts w:ascii="Times New Roman" w:eastAsia="Times New Roman" w:hAnsi="Times New Roman" w:cs="Times New Roman"/>
                <w:color w:val="000000"/>
                <w:sz w:val="20"/>
                <w:szCs w:val="20"/>
                <w:lang w:val="en-GB"/>
              </w:rPr>
              <w:t xml:space="preserve"> three-dimensional conformal radiation therapy (3DCRT) planning remains the standard option in the management of locally advanced NSSCL, a technique that makes the radiation oncologist face the challenge of target volume delineation based on CT scan alone, which will eventually affect target volume coverage, i.e. gross tumor volume (GTV) and planning target volume (PTV), as well as dose to the surrounding normal tissues at risk.</w:t>
            </w:r>
          </w:p>
          <w:p w:rsidR="00AA648F" w:rsidRPr="00AA648F" w:rsidRDefault="00AA648F" w:rsidP="006525EC">
            <w:pPr>
              <w:spacing w:after="0" w:line="240" w:lineRule="auto"/>
              <w:jc w:val="both"/>
              <w:rPr>
                <w:rFonts w:ascii="Times New Roman" w:eastAsia="Times New Roman" w:hAnsi="Times New Roman" w:cs="Times New Roman"/>
                <w:color w:val="000000"/>
                <w:sz w:val="20"/>
                <w:szCs w:val="20"/>
                <w:lang w:val="en-GB"/>
              </w:rPr>
            </w:pPr>
            <w:r w:rsidRPr="00AA648F">
              <w:rPr>
                <w:rFonts w:ascii="Times New Roman" w:eastAsia="Times New Roman" w:hAnsi="Times New Roman" w:cs="Times New Roman"/>
                <w:b/>
                <w:color w:val="000000"/>
                <w:sz w:val="20"/>
                <w:szCs w:val="20"/>
                <w:lang w:val="en-GB"/>
              </w:rPr>
              <w:t>Purpose:</w:t>
            </w:r>
            <w:r w:rsidRPr="00AA648F">
              <w:rPr>
                <w:rFonts w:ascii="Times New Roman" w:eastAsia="Times New Roman" w:hAnsi="Times New Roman" w:cs="Times New Roman"/>
                <w:color w:val="000000"/>
                <w:sz w:val="20"/>
                <w:szCs w:val="20"/>
                <w:lang w:val="en-GB"/>
              </w:rPr>
              <w:t xml:space="preserve"> To prospectively study the impact of fusing 18F-fluoro-deoxy-2-glucose hybrid positron emission tomographic (FDG-PET) images with CT images on the planning target volume (PTV) delineation, target coverage, and critical organ dose in radiation therapy planning of non–small-cell lung carcinoma. </w:t>
            </w:r>
          </w:p>
          <w:p w:rsidR="00AA648F" w:rsidRPr="00AA648F" w:rsidRDefault="00AA648F" w:rsidP="006525EC">
            <w:pPr>
              <w:spacing w:after="0" w:line="240" w:lineRule="auto"/>
              <w:jc w:val="both"/>
              <w:rPr>
                <w:rFonts w:ascii="Times New Roman" w:eastAsia="Times New Roman" w:hAnsi="Times New Roman" w:cs="Times New Roman"/>
                <w:color w:val="000000"/>
                <w:sz w:val="20"/>
                <w:szCs w:val="20"/>
                <w:lang w:val="en-GB"/>
              </w:rPr>
            </w:pPr>
            <w:r w:rsidRPr="00AA648F">
              <w:rPr>
                <w:rFonts w:ascii="Times New Roman" w:eastAsia="Times New Roman" w:hAnsi="Times New Roman" w:cs="Times New Roman"/>
                <w:b/>
                <w:color w:val="000000"/>
                <w:sz w:val="20"/>
                <w:szCs w:val="20"/>
                <w:lang w:val="en-GB"/>
              </w:rPr>
              <w:t>Methods and Materials:</w:t>
            </w:r>
            <w:r w:rsidRPr="00AA648F">
              <w:rPr>
                <w:rFonts w:ascii="Times New Roman" w:eastAsia="Times New Roman" w:hAnsi="Times New Roman" w:cs="Times New Roman"/>
                <w:color w:val="000000"/>
                <w:sz w:val="20"/>
                <w:szCs w:val="20"/>
                <w:lang w:val="en-GB"/>
              </w:rPr>
              <w:t xml:space="preserve"> Twenty patients with Stages I–III NSCLC were referred to our radiotherapy department in the period between Jan 1st 2015 and Aug 30, 2016, planned for treatment via radiotherapy alone or with concurrent chemo-radiation. Each patient underwent a planning CT with immobilization devices. FDG-PET scan was ordered for every patient and done in the department of nuclear medicine very soon after or before the day of CT simulation. Both the CT and PET/CT image data sets were fused and used in the radiation treatment planning workstation for contouring. Each FDG-PET study was reviewed with the interpreting nuclear radiologist before tumor volumes were contoured. A three-dimensional conformal radiation therapy (3DCRT) plan was calculated based on contours done on the CT scan only. A second plan based on the fused PET/CT images was generated. The PTV was defined by a 20 mm margin around the GTV. The two 3DCRT plans for each patient were compared with respect to the GTV, PTV, mean lung dose, volume of normal lung receiving &gt;20 Gy (V20), and mean esophageal dose.</w:t>
            </w:r>
          </w:p>
          <w:p w:rsidR="00AA648F" w:rsidRPr="00AA648F" w:rsidRDefault="00AA648F" w:rsidP="006525EC">
            <w:pPr>
              <w:spacing w:after="0" w:line="240" w:lineRule="auto"/>
              <w:jc w:val="both"/>
              <w:rPr>
                <w:rFonts w:ascii="Times New Roman" w:eastAsia="Times New Roman" w:hAnsi="Times New Roman" w:cs="Times New Roman"/>
                <w:color w:val="000000"/>
                <w:sz w:val="20"/>
                <w:szCs w:val="20"/>
                <w:lang w:val="en-GB"/>
              </w:rPr>
            </w:pPr>
            <w:r w:rsidRPr="00AA648F">
              <w:rPr>
                <w:rFonts w:ascii="Times New Roman" w:eastAsia="Times New Roman" w:hAnsi="Times New Roman" w:cs="Times New Roman"/>
                <w:b/>
                <w:color w:val="000000"/>
                <w:sz w:val="20"/>
                <w:szCs w:val="20"/>
                <w:lang w:val="en-GB"/>
              </w:rPr>
              <w:t>Results:</w:t>
            </w:r>
            <w:r w:rsidRPr="00AA648F">
              <w:rPr>
                <w:rFonts w:ascii="Times New Roman" w:eastAsia="Times New Roman" w:hAnsi="Times New Roman" w:cs="Times New Roman"/>
                <w:color w:val="000000"/>
                <w:sz w:val="20"/>
                <w:szCs w:val="20"/>
                <w:lang w:val="en-GB"/>
              </w:rPr>
              <w:t xml:space="preserve"> The FDG-PET findings altered the AJCC TNM stage in 6 of 20 (30%) patients; 2 patients were diagnosed with metastatic disease based on FDG-PET and received palliative radiation therapy. Of the 18 patients who were planned with 3DCRT, PET clearly altered the radiation therapy volume in 10 (66%), for example, PET helped to distinguish tumor from atelectasis in all 4 patients with atelectasis. Unsuspected nodal disease was detected by PET in 2 patients, and 1 patient had a separate tumor focus detected within a different lobe of the lung. Increases in the target volumes led to increases in the dose to organs at risk (mean lung dose, V20, and mean esophageal dose). Decreases in the target volumes in the patients with atelectasis led to decreases in these normal-tissue toxicity parameters.</w:t>
            </w:r>
          </w:p>
          <w:p w:rsidR="003F32D3" w:rsidRPr="00FD43A3" w:rsidRDefault="00AA648F" w:rsidP="006525EC">
            <w:pPr>
              <w:spacing w:after="0" w:line="240" w:lineRule="auto"/>
              <w:jc w:val="both"/>
              <w:rPr>
                <w:rFonts w:ascii="Times New Roman" w:eastAsia="Times New Roman" w:hAnsi="Times New Roman" w:cs="Times New Roman"/>
                <w:color w:val="000000"/>
                <w:sz w:val="20"/>
                <w:szCs w:val="20"/>
                <w:lang w:bidi="fa-IR"/>
              </w:rPr>
            </w:pPr>
            <w:r w:rsidRPr="00AA648F">
              <w:rPr>
                <w:rFonts w:ascii="Times New Roman" w:eastAsia="Times New Roman" w:hAnsi="Times New Roman" w:cs="Times New Roman"/>
                <w:b/>
                <w:color w:val="000000"/>
                <w:sz w:val="20"/>
                <w:szCs w:val="20"/>
                <w:lang w:val="en-GB"/>
              </w:rPr>
              <w:t>Conclusions</w:t>
            </w:r>
            <w:r w:rsidRPr="00AA648F">
              <w:rPr>
                <w:rFonts w:ascii="Times New Roman" w:eastAsia="Times New Roman" w:hAnsi="Times New Roman" w:cs="Times New Roman"/>
                <w:color w:val="000000"/>
                <w:sz w:val="20"/>
                <w:szCs w:val="20"/>
                <w:lang w:val="en-GB"/>
              </w:rPr>
              <w:t>: Radiation targeting with fused FDG-PET and CT images resulted in modifications  in radiation therapy planning in over 50% of patients by comparison with CT targeting. The future plan of having a PET-CT simulator in our department will make it possible to have the planning CT and PET-CT done on the same day and in the same position, eliminating all the difficulties faced during the fusion process.</w:t>
            </w:r>
          </w:p>
        </w:tc>
      </w:tr>
      <w:tr w:rsidR="003F32D3" w:rsidRPr="00FD43A3" w:rsidTr="00AE6222">
        <w:trPr>
          <w:trHeight w:val="80"/>
        </w:trPr>
        <w:tc>
          <w:tcPr>
            <w:tcW w:w="1285" w:type="pct"/>
            <w:shd w:val="clear" w:color="auto" w:fill="auto"/>
            <w:vAlign w:val="center"/>
          </w:tcPr>
          <w:p w:rsidR="003F32D3" w:rsidRPr="00FD43A3" w:rsidRDefault="003F32D3" w:rsidP="00CD626D">
            <w:pPr>
              <w:spacing w:after="0" w:line="240" w:lineRule="auto"/>
              <w:rPr>
                <w:rFonts w:ascii="Times New Roman" w:eastAsia="Times New Roman" w:hAnsi="Times New Roman" w:cs="Times New Roman"/>
                <w:i/>
                <w:iCs/>
                <w:color w:val="000000"/>
                <w:sz w:val="20"/>
                <w:szCs w:val="20"/>
                <w:lang w:bidi="fa-IR"/>
              </w:rPr>
            </w:pPr>
          </w:p>
        </w:tc>
        <w:tc>
          <w:tcPr>
            <w:tcW w:w="3715" w:type="pct"/>
            <w:shd w:val="clear" w:color="auto" w:fill="auto"/>
            <w:vAlign w:val="center"/>
            <w:hideMark/>
          </w:tcPr>
          <w:p w:rsidR="003F32D3" w:rsidRPr="00F07643" w:rsidRDefault="003F32D3" w:rsidP="00CD626D">
            <w:pPr>
              <w:spacing w:after="0" w:line="240" w:lineRule="auto"/>
              <w:rPr>
                <w:rFonts w:ascii="AdvGulliv-R" w:eastAsia="Times New Roman" w:hAnsi="AdvGulliv-R" w:cs="Arial"/>
                <w:color w:val="000000"/>
                <w:sz w:val="18"/>
                <w:szCs w:val="18"/>
                <w:lang w:bidi="fa-IR"/>
              </w:rPr>
            </w:pPr>
          </w:p>
        </w:tc>
      </w:tr>
    </w:tbl>
    <w:p w:rsidR="00FB3F95" w:rsidRPr="00FB3F95" w:rsidRDefault="00FB3F95" w:rsidP="00CD626D">
      <w:pPr>
        <w:spacing w:after="0" w:line="240" w:lineRule="auto"/>
        <w:rPr>
          <w:rFonts w:ascii="Times New Roman" w:hAnsi="Times New Roman" w:cs="Times New Roman"/>
          <w:b/>
          <w:color w:val="000000" w:themeColor="text1"/>
          <w:sz w:val="24"/>
          <w:szCs w:val="24"/>
        </w:rPr>
      </w:pPr>
      <w:r w:rsidRPr="00FB3F95">
        <w:rPr>
          <w:rFonts w:ascii="Times New Roman" w:hAnsi="Times New Roman" w:cs="Times New Roman"/>
          <w:b/>
          <w:color w:val="000000" w:themeColor="text1"/>
          <w:sz w:val="24"/>
          <w:szCs w:val="24"/>
        </w:rPr>
        <w:t>Introduction</w:t>
      </w:r>
      <w:r w:rsidR="004116E1">
        <w:rPr>
          <w:rFonts w:ascii="Times New Roman" w:hAnsi="Times New Roman" w:cs="Times New Roman"/>
          <w:b/>
          <w:color w:val="000000" w:themeColor="text1"/>
          <w:sz w:val="24"/>
          <w:szCs w:val="24"/>
        </w:rPr>
        <w:t xml:space="preserve"> </w:t>
      </w:r>
    </w:p>
    <w:p w:rsidR="00AA648F" w:rsidRDefault="00AA648F" w:rsidP="00CD626D">
      <w:pPr>
        <w:spacing w:after="0" w:line="240" w:lineRule="auto"/>
        <w:jc w:val="both"/>
        <w:rPr>
          <w:rFonts w:ascii="Times New Roman" w:hAnsi="Times New Roman" w:cs="Times New Roman"/>
          <w:color w:val="000000" w:themeColor="text1"/>
          <w:sz w:val="20"/>
          <w:szCs w:val="20"/>
        </w:rPr>
      </w:pPr>
      <w:r w:rsidRPr="00AA648F">
        <w:rPr>
          <w:rFonts w:ascii="Times New Roman" w:hAnsi="Times New Roman" w:cs="Times New Roman"/>
          <w:color w:val="000000" w:themeColor="text1"/>
          <w:sz w:val="20"/>
          <w:szCs w:val="20"/>
        </w:rPr>
        <w:t>Despite all the efforts made the prognosis of patients with inoperable non–small-cell lung cancer (NSCLC) is poor with published 5-year survival rates ranging from 6% to 32% for Stage I and II patients receiving radiation alone and 17% for Stage III patients receiving both chemotherapy and radiation (1– 3). Following a high radiation doses of _60 Gy, still local failure as determined by biopsy occurs in up to 83% of Stage III patients, indicating a need to improve local tumor control (4).</w:t>
      </w:r>
    </w:p>
    <w:p w:rsidR="006525EC" w:rsidRPr="00AA648F" w:rsidRDefault="006525EC" w:rsidP="006525EC">
      <w:pPr>
        <w:spacing w:after="0" w:line="240" w:lineRule="auto"/>
        <w:jc w:val="both"/>
        <w:rPr>
          <w:rFonts w:ascii="Times New Roman" w:hAnsi="Times New Roman" w:cs="Times New Roman"/>
          <w:color w:val="000000" w:themeColor="text1"/>
          <w:sz w:val="20"/>
          <w:szCs w:val="20"/>
        </w:rPr>
      </w:pPr>
    </w:p>
    <w:p w:rsidR="00AA648F" w:rsidRPr="00AA648F" w:rsidRDefault="00AA648F" w:rsidP="006525EC">
      <w:pPr>
        <w:spacing w:after="0" w:line="240" w:lineRule="auto"/>
        <w:jc w:val="both"/>
        <w:rPr>
          <w:rFonts w:ascii="Times New Roman" w:hAnsi="Times New Roman" w:cs="Times New Roman"/>
          <w:color w:val="000000" w:themeColor="text1"/>
          <w:sz w:val="20"/>
          <w:szCs w:val="20"/>
        </w:rPr>
      </w:pPr>
      <w:r w:rsidRPr="00AA648F">
        <w:rPr>
          <w:rFonts w:ascii="Times New Roman" w:hAnsi="Times New Roman" w:cs="Times New Roman"/>
          <w:color w:val="000000" w:themeColor="text1"/>
          <w:sz w:val="20"/>
          <w:szCs w:val="20"/>
        </w:rPr>
        <w:t>Positron emission tomography (PET) has become widely used in oncology over the last decade in different fields. In patients with suspected or proven NSCLC, FDG-PET is used primarily for the diagnostic evaluation of pulmonary nodules, for staging the mediastinum, and for detection of distant metastases. FDG-PET has consistently been shown to be more accurate than computed tomography (CT) in determining mediastinal nodal status.</w:t>
      </w:r>
    </w:p>
    <w:p w:rsidR="00FB3F95" w:rsidRDefault="00AA648F" w:rsidP="006525EC">
      <w:pPr>
        <w:spacing w:after="0" w:line="240" w:lineRule="auto"/>
        <w:jc w:val="both"/>
        <w:rPr>
          <w:rFonts w:ascii="Times New Roman" w:hAnsi="Times New Roman" w:cs="Times New Roman"/>
          <w:color w:val="000000" w:themeColor="text1"/>
          <w:sz w:val="20"/>
          <w:szCs w:val="20"/>
        </w:rPr>
      </w:pPr>
      <w:r w:rsidRPr="00AA648F">
        <w:rPr>
          <w:rFonts w:ascii="Times New Roman" w:hAnsi="Times New Roman" w:cs="Times New Roman"/>
          <w:color w:val="000000" w:themeColor="text1"/>
          <w:sz w:val="20"/>
          <w:szCs w:val="20"/>
        </w:rPr>
        <w:t>A meta-analysis by Toloza et al. reports the sensitivity and specificity for mediastinal staging to be 84% and 89%, respectively, for FDG-PET and 57% and 84%, respectively, for CT (5).</w:t>
      </w:r>
    </w:p>
    <w:p w:rsidR="00AA648F" w:rsidRDefault="00AA648F" w:rsidP="006525EC">
      <w:pPr>
        <w:spacing w:after="0" w:line="240" w:lineRule="auto"/>
        <w:jc w:val="both"/>
        <w:rPr>
          <w:rFonts w:ascii="Times New Roman" w:hAnsi="Times New Roman" w:cs="Times New Roman"/>
          <w:color w:val="000000" w:themeColor="text1"/>
          <w:sz w:val="20"/>
          <w:szCs w:val="20"/>
        </w:rPr>
      </w:pPr>
    </w:p>
    <w:p w:rsidR="00FB3F95" w:rsidRPr="004116E1" w:rsidRDefault="00FB3F95" w:rsidP="006525EC">
      <w:pPr>
        <w:spacing w:after="0" w:line="240" w:lineRule="auto"/>
        <w:rPr>
          <w:rFonts w:ascii="Times New Roman" w:hAnsi="Times New Roman" w:cs="Times New Roman"/>
          <w:b/>
          <w:color w:val="000000" w:themeColor="text1"/>
          <w:sz w:val="24"/>
          <w:szCs w:val="24"/>
        </w:rPr>
      </w:pPr>
      <w:r w:rsidRPr="004116E1">
        <w:rPr>
          <w:rFonts w:ascii="Times New Roman" w:hAnsi="Times New Roman"/>
          <w:b/>
          <w:color w:val="000000" w:themeColor="text1"/>
          <w:sz w:val="24"/>
          <w:szCs w:val="24"/>
        </w:rPr>
        <w:t>Materials and methods</w:t>
      </w:r>
    </w:p>
    <w:p w:rsidR="00AA648F" w:rsidRDefault="00AA648F" w:rsidP="006525EC">
      <w:pPr>
        <w:spacing w:after="0" w:line="240" w:lineRule="auto"/>
        <w:jc w:val="both"/>
        <w:rPr>
          <w:rFonts w:ascii="Times New Roman" w:hAnsi="Times New Roman"/>
          <w:sz w:val="20"/>
          <w:szCs w:val="20"/>
        </w:rPr>
      </w:pPr>
      <w:r w:rsidRPr="00AA648F">
        <w:rPr>
          <w:rFonts w:ascii="Times New Roman" w:hAnsi="Times New Roman"/>
          <w:sz w:val="20"/>
          <w:szCs w:val="20"/>
        </w:rPr>
        <w:t>In the period between Jan 1st 2015 and Aug 30, 2016, twenty patients with Stages I–III NSCLC were enrolled in this study; they were planned for treatment via radiotherapy alone or with concurrent chemo-radiation.</w:t>
      </w:r>
    </w:p>
    <w:p w:rsidR="006525EC" w:rsidRPr="00AA648F" w:rsidRDefault="006525EC" w:rsidP="006525EC">
      <w:pPr>
        <w:spacing w:after="0" w:line="240" w:lineRule="auto"/>
        <w:jc w:val="both"/>
        <w:rPr>
          <w:rFonts w:ascii="Times New Roman" w:hAnsi="Times New Roman"/>
          <w:sz w:val="20"/>
          <w:szCs w:val="20"/>
        </w:rPr>
      </w:pPr>
    </w:p>
    <w:p w:rsidR="00FB3F95" w:rsidRDefault="00AA648F" w:rsidP="006525EC">
      <w:pPr>
        <w:spacing w:after="0" w:line="240" w:lineRule="auto"/>
        <w:jc w:val="both"/>
        <w:rPr>
          <w:rFonts w:ascii="Times New Roman" w:hAnsi="Times New Roman"/>
          <w:b/>
          <w:sz w:val="20"/>
          <w:szCs w:val="20"/>
        </w:rPr>
      </w:pPr>
      <w:r w:rsidRPr="00AA648F">
        <w:rPr>
          <w:rFonts w:ascii="Times New Roman" w:hAnsi="Times New Roman"/>
          <w:sz w:val="20"/>
          <w:szCs w:val="20"/>
        </w:rPr>
        <w:t xml:space="preserve"> Each patient was required to have pathologic confirmation of NSCLC and a Zubrod performance status of 0–1. Patients had Stage I–III disease with no evidence of metastatic disease detected by history and physical examination, routine laboratory testing, CT of the chest and upper abdomen (to include the liver and adrenal glands), and bone scintigraphy. Patients previously treated with chemotherapy were included because this study was designed primarily to determine the impact of PET on radiation therapy target volumes</w:t>
      </w:r>
      <w:r w:rsidRPr="00AA648F">
        <w:rPr>
          <w:rFonts w:ascii="Times New Roman" w:hAnsi="Times New Roman"/>
          <w:b/>
          <w:sz w:val="20"/>
          <w:szCs w:val="20"/>
        </w:rPr>
        <w:t>.</w:t>
      </w:r>
    </w:p>
    <w:p w:rsidR="00AA648F" w:rsidRDefault="00AA648F" w:rsidP="006525EC">
      <w:pPr>
        <w:spacing w:after="0" w:line="240" w:lineRule="auto"/>
        <w:jc w:val="both"/>
        <w:rPr>
          <w:rFonts w:ascii="Times New Roman" w:hAnsi="Times New Roman"/>
          <w:b/>
          <w:sz w:val="20"/>
          <w:szCs w:val="20"/>
        </w:rPr>
      </w:pPr>
    </w:p>
    <w:p w:rsidR="00AA648F" w:rsidRPr="00AA648F" w:rsidRDefault="00AA648F" w:rsidP="006525EC">
      <w:pPr>
        <w:spacing w:after="0" w:line="240" w:lineRule="auto"/>
        <w:jc w:val="both"/>
        <w:rPr>
          <w:rFonts w:ascii="Times New Roman" w:hAnsi="Times New Roman"/>
          <w:b/>
          <w:sz w:val="24"/>
          <w:szCs w:val="24"/>
        </w:rPr>
      </w:pPr>
      <w:r w:rsidRPr="00AA648F">
        <w:rPr>
          <w:rFonts w:ascii="Times New Roman" w:hAnsi="Times New Roman"/>
          <w:b/>
          <w:sz w:val="24"/>
          <w:szCs w:val="24"/>
        </w:rPr>
        <w:t>Planning</w:t>
      </w:r>
    </w:p>
    <w:p w:rsidR="00AA648F" w:rsidRPr="00AA648F" w:rsidRDefault="00AA648F" w:rsidP="006525EC">
      <w:pPr>
        <w:spacing w:after="0" w:line="240" w:lineRule="auto"/>
        <w:jc w:val="both"/>
        <w:rPr>
          <w:rFonts w:ascii="Times New Roman" w:hAnsi="Times New Roman"/>
          <w:sz w:val="20"/>
          <w:szCs w:val="20"/>
        </w:rPr>
      </w:pPr>
      <w:r w:rsidRPr="00AA648F">
        <w:rPr>
          <w:rFonts w:ascii="Times New Roman" w:hAnsi="Times New Roman"/>
          <w:sz w:val="20"/>
          <w:szCs w:val="20"/>
        </w:rPr>
        <w:t>Each patient underwent a volumetric CT scan and immobilized before the CT using Redi-Foam alpha cradle in supine position with arms overhead .Three fiducial markers were placed on the patient skin for localization of the reference point, 2 lateral and 1 anterior, CT images were then obtained as 3-mm sections through the entire thorax.</w:t>
      </w:r>
    </w:p>
    <w:p w:rsidR="00AA648F" w:rsidRDefault="00AA648F" w:rsidP="006525EC">
      <w:pPr>
        <w:spacing w:after="0" w:line="240" w:lineRule="auto"/>
        <w:jc w:val="both"/>
        <w:rPr>
          <w:rFonts w:ascii="Times New Roman" w:hAnsi="Times New Roman"/>
          <w:sz w:val="20"/>
          <w:szCs w:val="20"/>
        </w:rPr>
      </w:pPr>
      <w:r w:rsidRPr="00AA648F">
        <w:rPr>
          <w:rFonts w:ascii="Times New Roman" w:hAnsi="Times New Roman"/>
          <w:sz w:val="20"/>
          <w:szCs w:val="20"/>
        </w:rPr>
        <w:t>The CT images were then transferred to the planning work station where normal tissues contoured on the CT data set.</w:t>
      </w:r>
    </w:p>
    <w:p w:rsidR="006525EC" w:rsidRPr="00AA648F" w:rsidRDefault="006525EC" w:rsidP="006525EC">
      <w:pPr>
        <w:spacing w:after="0" w:line="240" w:lineRule="auto"/>
        <w:jc w:val="both"/>
        <w:rPr>
          <w:rFonts w:ascii="Times New Roman" w:hAnsi="Times New Roman"/>
          <w:sz w:val="20"/>
          <w:szCs w:val="20"/>
        </w:rPr>
      </w:pPr>
    </w:p>
    <w:p w:rsidR="00AA648F" w:rsidRDefault="00AA648F" w:rsidP="006525EC">
      <w:pPr>
        <w:spacing w:after="0" w:line="240" w:lineRule="auto"/>
        <w:jc w:val="both"/>
        <w:rPr>
          <w:rFonts w:ascii="Times New Roman" w:hAnsi="Times New Roman"/>
          <w:sz w:val="20"/>
          <w:szCs w:val="20"/>
        </w:rPr>
      </w:pPr>
      <w:r w:rsidRPr="00AA648F">
        <w:rPr>
          <w:rFonts w:ascii="Times New Roman" w:hAnsi="Times New Roman"/>
          <w:sz w:val="20"/>
          <w:szCs w:val="20"/>
        </w:rPr>
        <w:t>Normal-tissue contours included the right lung, left lung, esophagus (from the carina to the esophagogastric junction), spinal cord, and heart. After the normal tissues were contoured, each CT data set was copied to maintain two separate data sets for three-dimensional planning: CT alone and PET/CT fusion data sets.</w:t>
      </w:r>
    </w:p>
    <w:p w:rsidR="006525EC" w:rsidRPr="00AA648F" w:rsidRDefault="006525EC" w:rsidP="006525EC">
      <w:pPr>
        <w:spacing w:after="0" w:line="240" w:lineRule="auto"/>
        <w:jc w:val="both"/>
        <w:rPr>
          <w:rFonts w:ascii="Times New Roman" w:hAnsi="Times New Roman"/>
          <w:sz w:val="20"/>
          <w:szCs w:val="20"/>
        </w:rPr>
      </w:pPr>
    </w:p>
    <w:p w:rsidR="00AA648F" w:rsidRDefault="00AA648F" w:rsidP="006525EC">
      <w:pPr>
        <w:spacing w:after="0" w:line="240" w:lineRule="auto"/>
        <w:jc w:val="both"/>
        <w:rPr>
          <w:rFonts w:ascii="Times New Roman" w:hAnsi="Times New Roman"/>
          <w:sz w:val="20"/>
          <w:szCs w:val="20"/>
        </w:rPr>
      </w:pPr>
      <w:r w:rsidRPr="00AA648F">
        <w:rPr>
          <w:rFonts w:ascii="Times New Roman" w:hAnsi="Times New Roman"/>
          <w:sz w:val="20"/>
          <w:szCs w:val="20"/>
        </w:rPr>
        <w:t>First the CT-alone data set was contoured and planned by the treating physician and a dosimetrist without knowledge of the PET scan results, in an effort to reduce bias. The GTV consisted of the primary tumor and any regional lymph nodes seen on CT with short-axis diameter_10 mm or more. Lung window settings were used to contour the primary tumor in each case, and mediastinal window used to define lymph nodes. The PTV consisted of the GTV plus a volumetric margin of 20 mm; this data set was used to generate a comparison treatment plan for each patient, but was not used for treatment.</w:t>
      </w:r>
    </w:p>
    <w:p w:rsidR="006525EC" w:rsidRPr="00AA648F" w:rsidRDefault="006525EC" w:rsidP="006525EC">
      <w:pPr>
        <w:spacing w:after="0" w:line="240" w:lineRule="auto"/>
        <w:jc w:val="both"/>
        <w:rPr>
          <w:rFonts w:ascii="Times New Roman" w:hAnsi="Times New Roman"/>
          <w:sz w:val="20"/>
          <w:szCs w:val="20"/>
        </w:rPr>
      </w:pPr>
    </w:p>
    <w:p w:rsidR="00AA648F" w:rsidRDefault="00AA648F" w:rsidP="006525EC">
      <w:pPr>
        <w:spacing w:after="0" w:line="240" w:lineRule="auto"/>
        <w:jc w:val="both"/>
        <w:rPr>
          <w:rFonts w:ascii="Times New Roman" w:hAnsi="Times New Roman"/>
          <w:sz w:val="20"/>
          <w:szCs w:val="20"/>
        </w:rPr>
      </w:pPr>
      <w:r w:rsidRPr="00AA648F">
        <w:rPr>
          <w:rFonts w:ascii="Times New Roman" w:hAnsi="Times New Roman"/>
          <w:sz w:val="20"/>
          <w:szCs w:val="20"/>
        </w:rPr>
        <w:t>PET/CT images were then registered on the planning system and fused with the copied CT images, after reviewing the PET images with a nuclear radiologist; the same treating physician generated gross tumor volume (GTV) and planning target volume (PTV) contours for each patient. The GTV included the primary tumor seen on both CT and PET and any clinically involved regional lymph nodes. Lymph nodes were considered tumor if they demonstrated increased FDG uptake or measured_10 mm or more in short-axis dimension on CT. In patients with atelectatic lung adjacent to gross primary tumor, only the areas with increased FDG uptake were considered part of the GTV. The PTV consisted of the GTV plus a volumetric 20-mm margin. Noninvolved elective nodal regions were not intentionally targeted.</w:t>
      </w:r>
    </w:p>
    <w:p w:rsidR="006525EC" w:rsidRPr="00AA648F" w:rsidRDefault="006525EC" w:rsidP="006525EC">
      <w:pPr>
        <w:spacing w:after="0" w:line="240" w:lineRule="auto"/>
        <w:jc w:val="both"/>
        <w:rPr>
          <w:rFonts w:ascii="Times New Roman" w:hAnsi="Times New Roman"/>
          <w:sz w:val="20"/>
          <w:szCs w:val="20"/>
        </w:rPr>
      </w:pPr>
    </w:p>
    <w:p w:rsidR="00AA648F" w:rsidRPr="00AA648F" w:rsidRDefault="00AA648F" w:rsidP="006525EC">
      <w:pPr>
        <w:spacing w:after="0" w:line="240" w:lineRule="auto"/>
        <w:jc w:val="both"/>
        <w:rPr>
          <w:rFonts w:ascii="Times New Roman" w:hAnsi="Times New Roman"/>
          <w:sz w:val="20"/>
          <w:szCs w:val="20"/>
        </w:rPr>
      </w:pPr>
      <w:r w:rsidRPr="00AA648F">
        <w:rPr>
          <w:rFonts w:ascii="Times New Roman" w:hAnsi="Times New Roman"/>
          <w:sz w:val="20"/>
          <w:szCs w:val="20"/>
        </w:rPr>
        <w:t>Both the CT-planned and the PET/CT-planned data sets underwent 3DCRT planning by separate dosimetrists. The dosimetrists were provided with the following guidelines: the total dose to be prescribed to the isocenter, and a block margin of 7 mm beyond the PTV; in addition, the PTV was to receive _95% of the prescribed dose. Plans were optimized to maximize dose to the PTV while limiting dose to normal tissues.</w:t>
      </w:r>
    </w:p>
    <w:p w:rsidR="00AA648F" w:rsidRPr="00AA648F" w:rsidRDefault="00AA648F" w:rsidP="006525EC">
      <w:pPr>
        <w:spacing w:after="0" w:line="240" w:lineRule="auto"/>
        <w:jc w:val="both"/>
        <w:rPr>
          <w:rFonts w:ascii="Times New Roman" w:hAnsi="Times New Roman"/>
          <w:sz w:val="20"/>
          <w:szCs w:val="20"/>
        </w:rPr>
      </w:pPr>
    </w:p>
    <w:p w:rsidR="00AA648F" w:rsidRPr="00AA648F" w:rsidRDefault="00AA648F" w:rsidP="006525EC">
      <w:pPr>
        <w:spacing w:after="0" w:line="240" w:lineRule="auto"/>
        <w:jc w:val="both"/>
        <w:rPr>
          <w:rFonts w:ascii="Times New Roman" w:hAnsi="Times New Roman"/>
          <w:sz w:val="20"/>
          <w:szCs w:val="20"/>
        </w:rPr>
      </w:pPr>
      <w:r w:rsidRPr="00AA648F">
        <w:rPr>
          <w:rFonts w:ascii="Times New Roman" w:hAnsi="Times New Roman"/>
          <w:sz w:val="20"/>
          <w:szCs w:val="20"/>
        </w:rPr>
        <w:t>The two treatment plans for each patient were compared with respect to the contoured GTV, PTV, and normal tissues receiving radiation. For the purpose of defining differences in GTV and PTV contours, “significant” differences were predefined as tumor and/or nodal regions that were included as GTV/PTV within one data set, but not the other, or the difference in the volume of the GTV/PTV being 25% or more. Minor differences in contours of the same tumor and/or nodal volume with a value of 25% or less between data sets were considered “minimal”.</w:t>
      </w:r>
    </w:p>
    <w:p w:rsidR="00AA648F" w:rsidRDefault="00AA648F" w:rsidP="006525EC">
      <w:pPr>
        <w:spacing w:after="0" w:line="240" w:lineRule="auto"/>
        <w:jc w:val="both"/>
        <w:rPr>
          <w:rFonts w:ascii="Times New Roman" w:hAnsi="Times New Roman"/>
          <w:sz w:val="20"/>
          <w:szCs w:val="20"/>
        </w:rPr>
      </w:pPr>
      <w:r w:rsidRPr="00AA648F">
        <w:rPr>
          <w:rFonts w:ascii="Times New Roman" w:hAnsi="Times New Roman"/>
          <w:sz w:val="20"/>
          <w:szCs w:val="20"/>
        </w:rPr>
        <w:t>Mean lung dose (MLD), the volume of normal lung receiving _20 Gy (V20), and mean esophageal dose (MED) are reported to summarize predictions of normal-tissue toxicity.</w:t>
      </w:r>
    </w:p>
    <w:p w:rsidR="00FB3F95" w:rsidRDefault="00FB3F95" w:rsidP="006525EC">
      <w:pPr>
        <w:spacing w:after="0" w:line="240" w:lineRule="auto"/>
        <w:jc w:val="center"/>
        <w:rPr>
          <w:rFonts w:ascii="Times New Roman" w:hAnsi="Times New Roman"/>
          <w:sz w:val="20"/>
          <w:szCs w:val="20"/>
        </w:rPr>
      </w:pPr>
    </w:p>
    <w:p w:rsidR="00FB3F95" w:rsidRPr="002352B6" w:rsidRDefault="00FB3F95" w:rsidP="006525EC">
      <w:pPr>
        <w:spacing w:after="0" w:line="240" w:lineRule="auto"/>
        <w:rPr>
          <w:rFonts w:ascii="Times New Roman" w:hAnsi="Times New Roman" w:cs="Times New Roman"/>
          <w:b/>
          <w:color w:val="000000" w:themeColor="text1"/>
          <w:sz w:val="24"/>
          <w:szCs w:val="24"/>
        </w:rPr>
      </w:pPr>
      <w:r w:rsidRPr="002352B6">
        <w:rPr>
          <w:rFonts w:ascii="Times New Roman" w:hAnsi="Times New Roman"/>
          <w:b/>
          <w:color w:val="000000" w:themeColor="text1"/>
          <w:sz w:val="24"/>
          <w:szCs w:val="24"/>
        </w:rPr>
        <w:t xml:space="preserve">Results </w:t>
      </w:r>
    </w:p>
    <w:p w:rsidR="006525EC" w:rsidRPr="006525EC" w:rsidRDefault="006525EC" w:rsidP="006525EC">
      <w:pPr>
        <w:autoSpaceDE w:val="0"/>
        <w:autoSpaceDN w:val="0"/>
        <w:adjustRightInd w:val="0"/>
        <w:spacing w:after="0" w:line="240" w:lineRule="auto"/>
        <w:jc w:val="both"/>
        <w:rPr>
          <w:rFonts w:ascii="Times New Roman" w:hAnsi="Times New Roman" w:cs="Times New Roman"/>
          <w:color w:val="000000"/>
          <w:sz w:val="20"/>
          <w:szCs w:val="20"/>
        </w:rPr>
      </w:pPr>
      <w:r w:rsidRPr="006525EC">
        <w:rPr>
          <w:rFonts w:ascii="Times New Roman" w:hAnsi="Times New Roman" w:cs="Times New Roman"/>
          <w:color w:val="000000"/>
          <w:sz w:val="20"/>
          <w:szCs w:val="20"/>
        </w:rPr>
        <w:t>Between January 2015 and August 2016, 20 patients were enrolled in this prospective pilot study at our institution.</w:t>
      </w:r>
    </w:p>
    <w:p w:rsidR="006525EC" w:rsidRPr="006525EC" w:rsidRDefault="006525EC" w:rsidP="006525EC">
      <w:pPr>
        <w:autoSpaceDE w:val="0"/>
        <w:autoSpaceDN w:val="0"/>
        <w:adjustRightInd w:val="0"/>
        <w:spacing w:after="0" w:line="240" w:lineRule="auto"/>
        <w:jc w:val="both"/>
        <w:rPr>
          <w:rFonts w:ascii="Times New Roman" w:hAnsi="Times New Roman" w:cs="Times New Roman"/>
          <w:color w:val="000000"/>
          <w:sz w:val="20"/>
          <w:szCs w:val="20"/>
        </w:rPr>
      </w:pPr>
      <w:r w:rsidRPr="006525EC">
        <w:rPr>
          <w:rFonts w:ascii="Times New Roman" w:hAnsi="Times New Roman" w:cs="Times New Roman"/>
          <w:color w:val="000000"/>
          <w:sz w:val="20"/>
          <w:szCs w:val="20"/>
        </w:rPr>
        <w:t xml:space="preserve">Assigned clinical stages at referral (without PET information) included 2 patients with T1N0M0 carcinomas, 2 with T1N1, 4 with T1N2M0, 6 with T2N2M0, 3 with T3N2M0, 1 with T1N3, 1 with T2N3, and 1 with T4N2M0 cancers. </w:t>
      </w:r>
    </w:p>
    <w:p w:rsidR="006525EC" w:rsidRDefault="006525EC" w:rsidP="006525EC">
      <w:pPr>
        <w:autoSpaceDE w:val="0"/>
        <w:autoSpaceDN w:val="0"/>
        <w:adjustRightInd w:val="0"/>
        <w:spacing w:after="0" w:line="240" w:lineRule="auto"/>
        <w:jc w:val="both"/>
        <w:rPr>
          <w:rFonts w:ascii="Times New Roman" w:hAnsi="Times New Roman" w:cs="Times New Roman"/>
          <w:color w:val="000000"/>
          <w:sz w:val="20"/>
          <w:szCs w:val="20"/>
        </w:rPr>
      </w:pPr>
      <w:r w:rsidRPr="006525EC">
        <w:rPr>
          <w:rFonts w:ascii="Times New Roman" w:hAnsi="Times New Roman" w:cs="Times New Roman"/>
          <w:color w:val="000000"/>
          <w:sz w:val="20"/>
          <w:szCs w:val="20"/>
        </w:rPr>
        <w:t>The addition of PET altered the AJCC TNM clinical stage in 6 patients (30%) (</w:t>
      </w:r>
      <w:r w:rsidRPr="006525EC">
        <w:rPr>
          <w:rFonts w:ascii="Times New Roman" w:hAnsi="Times New Roman" w:cs="Times New Roman"/>
          <w:color w:val="000064"/>
          <w:sz w:val="20"/>
          <w:szCs w:val="20"/>
        </w:rPr>
        <w:t>Table 1</w:t>
      </w:r>
      <w:r w:rsidRPr="006525EC">
        <w:rPr>
          <w:rFonts w:ascii="Times New Roman" w:hAnsi="Times New Roman" w:cs="Times New Roman"/>
          <w:color w:val="000000"/>
          <w:sz w:val="20"/>
          <w:szCs w:val="20"/>
        </w:rPr>
        <w:t>). PET identified unsuspected distant metastasis (M1 disease) in 2 patients. One had intrapulmonary metastases, and the other had bone metastases. Both received palliative radiation therapy.</w:t>
      </w:r>
    </w:p>
    <w:p w:rsidR="006525EC" w:rsidRPr="006525EC" w:rsidRDefault="006525EC" w:rsidP="006525EC">
      <w:pPr>
        <w:autoSpaceDE w:val="0"/>
        <w:autoSpaceDN w:val="0"/>
        <w:adjustRightInd w:val="0"/>
        <w:spacing w:after="0" w:line="240" w:lineRule="auto"/>
        <w:jc w:val="both"/>
        <w:rPr>
          <w:rFonts w:ascii="Times New Roman" w:hAnsi="Times New Roman" w:cs="Times New Roman"/>
          <w:color w:val="000000"/>
          <w:sz w:val="20"/>
          <w:szCs w:val="20"/>
        </w:rPr>
      </w:pPr>
    </w:p>
    <w:p w:rsidR="006525EC" w:rsidRDefault="006525EC" w:rsidP="006525EC">
      <w:pPr>
        <w:autoSpaceDE w:val="0"/>
        <w:autoSpaceDN w:val="0"/>
        <w:adjustRightInd w:val="0"/>
        <w:spacing w:after="0" w:line="240" w:lineRule="auto"/>
        <w:jc w:val="both"/>
        <w:rPr>
          <w:rFonts w:ascii="Times New Roman" w:hAnsi="Times New Roman" w:cs="Times New Roman"/>
          <w:color w:val="000000"/>
          <w:sz w:val="20"/>
          <w:szCs w:val="20"/>
        </w:rPr>
      </w:pPr>
      <w:r w:rsidRPr="006525EC">
        <w:rPr>
          <w:rFonts w:ascii="Times New Roman" w:hAnsi="Times New Roman" w:cs="Times New Roman"/>
          <w:color w:val="000000"/>
          <w:sz w:val="20"/>
          <w:szCs w:val="20"/>
        </w:rPr>
        <w:t xml:space="preserve">Eighteen patients received definitive 3DCRT planned with the PET/CT fusion images. Of these 18 patients, PET significantly altered the GTV in 10 (66%) patients. PET helped to delineate tumor within regions of atelectasis in 4 patients, reducing the GTV for each. PET increased the GTV significantly in 3 patients; a second right upper-lobe lesion was included in 1 patient (T4 disease), and additional unsuspected regional nodal disease was included in 2 patients. </w:t>
      </w:r>
    </w:p>
    <w:p w:rsidR="006525EC" w:rsidRPr="006525EC" w:rsidRDefault="006525EC" w:rsidP="006525EC">
      <w:pPr>
        <w:autoSpaceDE w:val="0"/>
        <w:autoSpaceDN w:val="0"/>
        <w:adjustRightInd w:val="0"/>
        <w:spacing w:after="0" w:line="240" w:lineRule="auto"/>
        <w:jc w:val="both"/>
        <w:rPr>
          <w:rFonts w:ascii="Times New Roman" w:hAnsi="Times New Roman" w:cs="Times New Roman"/>
          <w:color w:val="000000"/>
          <w:sz w:val="20"/>
          <w:szCs w:val="20"/>
        </w:rPr>
      </w:pPr>
    </w:p>
    <w:p w:rsidR="006525EC" w:rsidRDefault="006525EC" w:rsidP="006525EC">
      <w:pPr>
        <w:autoSpaceDE w:val="0"/>
        <w:autoSpaceDN w:val="0"/>
        <w:adjustRightInd w:val="0"/>
        <w:spacing w:after="0" w:line="240" w:lineRule="auto"/>
        <w:jc w:val="both"/>
        <w:rPr>
          <w:rFonts w:ascii="Times New Roman" w:hAnsi="Times New Roman" w:cs="Times New Roman"/>
          <w:color w:val="000000"/>
          <w:sz w:val="20"/>
          <w:szCs w:val="20"/>
        </w:rPr>
      </w:pPr>
      <w:r w:rsidRPr="006525EC">
        <w:rPr>
          <w:rFonts w:ascii="Times New Roman" w:hAnsi="Times New Roman" w:cs="Times New Roman"/>
          <w:color w:val="000000"/>
          <w:sz w:val="20"/>
          <w:szCs w:val="20"/>
        </w:rPr>
        <w:t xml:space="preserve">Three patients with tumor-related atelectasis were included. The addition of PET did not change the assigned stage in any of these patients. However, the PET/CT fusion data clearly helped to delineate tumor from atelectatic lung, reducing the GTV, PTV, MLD, and MED, accordingly. </w:t>
      </w:r>
    </w:p>
    <w:p w:rsidR="006525EC" w:rsidRPr="006525EC" w:rsidRDefault="006525EC" w:rsidP="006525EC">
      <w:pPr>
        <w:autoSpaceDE w:val="0"/>
        <w:autoSpaceDN w:val="0"/>
        <w:adjustRightInd w:val="0"/>
        <w:spacing w:after="0" w:line="240" w:lineRule="auto"/>
        <w:jc w:val="both"/>
        <w:rPr>
          <w:rFonts w:ascii="Times New Roman" w:hAnsi="Times New Roman" w:cs="Times New Roman"/>
          <w:color w:val="000000"/>
          <w:sz w:val="20"/>
          <w:szCs w:val="20"/>
        </w:rPr>
      </w:pPr>
    </w:p>
    <w:p w:rsidR="006525EC" w:rsidRDefault="006525EC" w:rsidP="006525EC">
      <w:pPr>
        <w:autoSpaceDE w:val="0"/>
        <w:autoSpaceDN w:val="0"/>
        <w:adjustRightInd w:val="0"/>
        <w:spacing w:after="0" w:line="240" w:lineRule="auto"/>
        <w:jc w:val="both"/>
        <w:rPr>
          <w:rFonts w:ascii="Times New Roman" w:hAnsi="Times New Roman" w:cs="Times New Roman"/>
          <w:color w:val="000000"/>
          <w:sz w:val="20"/>
          <w:szCs w:val="20"/>
        </w:rPr>
      </w:pPr>
      <w:r w:rsidRPr="006525EC">
        <w:rPr>
          <w:rFonts w:ascii="Times New Roman" w:hAnsi="Times New Roman" w:cs="Times New Roman"/>
          <w:color w:val="000064"/>
          <w:sz w:val="20"/>
          <w:szCs w:val="20"/>
        </w:rPr>
        <w:t xml:space="preserve">Table 2 </w:t>
      </w:r>
      <w:r w:rsidRPr="006525EC">
        <w:rPr>
          <w:rFonts w:ascii="Times New Roman" w:hAnsi="Times New Roman" w:cs="Times New Roman"/>
          <w:color w:val="000000"/>
          <w:sz w:val="20"/>
          <w:szCs w:val="20"/>
        </w:rPr>
        <w:t xml:space="preserve">demonstrates the changes in the GTV, PTV, and normal-tissue radiation doses when the PET/CT-based plans are compared to the CT-based treatment plans. In the patients with atelectasis, decreases in the GTV led to reduced radiation doses to the lung and esophagus. With increases in GTV because of the detection of additional gross primary or nodal disease, the doses to normal tissues were increased, as were the probabilities of normal-tissue complication. A summary of FDG-PET changes in TNM stage and contoured GTV is given in </w:t>
      </w:r>
      <w:r w:rsidRPr="006525EC">
        <w:rPr>
          <w:rFonts w:ascii="Times New Roman" w:hAnsi="Times New Roman" w:cs="Times New Roman"/>
          <w:color w:val="000064"/>
          <w:sz w:val="20"/>
          <w:szCs w:val="20"/>
        </w:rPr>
        <w:t>Table 3</w:t>
      </w:r>
      <w:r w:rsidRPr="006525EC">
        <w:rPr>
          <w:rFonts w:ascii="Times New Roman" w:hAnsi="Times New Roman" w:cs="Times New Roman"/>
          <w:color w:val="000000"/>
          <w:sz w:val="20"/>
          <w:szCs w:val="20"/>
        </w:rPr>
        <w:t>.</w:t>
      </w:r>
    </w:p>
    <w:p w:rsidR="006525EC" w:rsidRDefault="006525EC" w:rsidP="006525EC">
      <w:pPr>
        <w:autoSpaceDE w:val="0"/>
        <w:autoSpaceDN w:val="0"/>
        <w:adjustRightInd w:val="0"/>
        <w:spacing w:after="0" w:line="240" w:lineRule="auto"/>
        <w:jc w:val="both"/>
        <w:rPr>
          <w:rFonts w:ascii="Times New Roman" w:hAnsi="Times New Roman" w:cs="Times New Roman"/>
          <w:color w:val="000000"/>
          <w:sz w:val="20"/>
          <w:szCs w:val="20"/>
        </w:rPr>
      </w:pPr>
    </w:p>
    <w:p w:rsidR="00AE6222" w:rsidRDefault="00AE6222" w:rsidP="006525EC">
      <w:pPr>
        <w:autoSpaceDE w:val="0"/>
        <w:autoSpaceDN w:val="0"/>
        <w:adjustRightInd w:val="0"/>
        <w:spacing w:after="0" w:line="240" w:lineRule="auto"/>
        <w:jc w:val="both"/>
        <w:rPr>
          <w:rFonts w:ascii="Times New Roman" w:hAnsi="Times New Roman" w:cs="Times New Roman"/>
          <w:color w:val="000000"/>
          <w:sz w:val="20"/>
          <w:szCs w:val="20"/>
        </w:rPr>
      </w:pPr>
    </w:p>
    <w:p w:rsidR="00AE6222" w:rsidRDefault="00AE6222" w:rsidP="006525EC">
      <w:pPr>
        <w:autoSpaceDE w:val="0"/>
        <w:autoSpaceDN w:val="0"/>
        <w:adjustRightInd w:val="0"/>
        <w:spacing w:after="0" w:line="240" w:lineRule="auto"/>
        <w:jc w:val="both"/>
        <w:rPr>
          <w:rFonts w:ascii="Times New Roman" w:hAnsi="Times New Roman" w:cs="Times New Roman"/>
          <w:color w:val="000000"/>
          <w:sz w:val="20"/>
          <w:szCs w:val="20"/>
        </w:rPr>
      </w:pPr>
    </w:p>
    <w:p w:rsidR="00AE6222" w:rsidRDefault="00AE6222" w:rsidP="006525EC">
      <w:pPr>
        <w:autoSpaceDE w:val="0"/>
        <w:autoSpaceDN w:val="0"/>
        <w:adjustRightInd w:val="0"/>
        <w:spacing w:after="0" w:line="240" w:lineRule="auto"/>
        <w:jc w:val="both"/>
        <w:rPr>
          <w:rFonts w:ascii="Times New Roman" w:hAnsi="Times New Roman" w:cs="Times New Roman"/>
          <w:color w:val="000000"/>
          <w:sz w:val="20"/>
          <w:szCs w:val="20"/>
        </w:rPr>
      </w:pPr>
    </w:p>
    <w:p w:rsidR="00AE6222" w:rsidRDefault="00AE6222" w:rsidP="006525EC">
      <w:pPr>
        <w:autoSpaceDE w:val="0"/>
        <w:autoSpaceDN w:val="0"/>
        <w:adjustRightInd w:val="0"/>
        <w:spacing w:after="0" w:line="240" w:lineRule="auto"/>
        <w:jc w:val="both"/>
        <w:rPr>
          <w:rFonts w:ascii="Times New Roman" w:hAnsi="Times New Roman" w:cs="Times New Roman"/>
          <w:color w:val="000000"/>
          <w:sz w:val="20"/>
          <w:szCs w:val="20"/>
        </w:rPr>
      </w:pPr>
    </w:p>
    <w:p w:rsidR="00AE6222" w:rsidRDefault="00AE6222" w:rsidP="006525EC">
      <w:pPr>
        <w:autoSpaceDE w:val="0"/>
        <w:autoSpaceDN w:val="0"/>
        <w:adjustRightInd w:val="0"/>
        <w:spacing w:after="0" w:line="240" w:lineRule="auto"/>
        <w:jc w:val="both"/>
        <w:rPr>
          <w:rFonts w:ascii="Times New Roman" w:hAnsi="Times New Roman" w:cs="Times New Roman"/>
          <w:color w:val="000000"/>
          <w:sz w:val="20"/>
          <w:szCs w:val="20"/>
        </w:rPr>
      </w:pPr>
    </w:p>
    <w:p w:rsidR="00AE6222" w:rsidRDefault="00AE6222" w:rsidP="006525EC">
      <w:pPr>
        <w:autoSpaceDE w:val="0"/>
        <w:autoSpaceDN w:val="0"/>
        <w:adjustRightInd w:val="0"/>
        <w:spacing w:after="0" w:line="240" w:lineRule="auto"/>
        <w:jc w:val="both"/>
        <w:rPr>
          <w:rFonts w:ascii="Times New Roman" w:hAnsi="Times New Roman" w:cs="Times New Roman"/>
          <w:color w:val="000000"/>
          <w:sz w:val="20"/>
          <w:szCs w:val="20"/>
        </w:rPr>
      </w:pPr>
    </w:p>
    <w:p w:rsidR="00AE6222" w:rsidRDefault="00AE6222" w:rsidP="006525EC">
      <w:pPr>
        <w:autoSpaceDE w:val="0"/>
        <w:autoSpaceDN w:val="0"/>
        <w:adjustRightInd w:val="0"/>
        <w:spacing w:after="0" w:line="240" w:lineRule="auto"/>
        <w:jc w:val="both"/>
        <w:rPr>
          <w:rFonts w:ascii="Times New Roman" w:hAnsi="Times New Roman" w:cs="Times New Roman"/>
          <w:color w:val="000000"/>
          <w:sz w:val="20"/>
          <w:szCs w:val="20"/>
        </w:rPr>
      </w:pPr>
    </w:p>
    <w:p w:rsidR="00AE6222" w:rsidRDefault="00AE6222" w:rsidP="006525EC">
      <w:pPr>
        <w:autoSpaceDE w:val="0"/>
        <w:autoSpaceDN w:val="0"/>
        <w:adjustRightInd w:val="0"/>
        <w:spacing w:after="0" w:line="240" w:lineRule="auto"/>
        <w:jc w:val="both"/>
        <w:rPr>
          <w:rFonts w:ascii="Times New Roman" w:hAnsi="Times New Roman" w:cs="Times New Roman"/>
          <w:color w:val="000000"/>
          <w:sz w:val="20"/>
          <w:szCs w:val="20"/>
        </w:rPr>
      </w:pPr>
    </w:p>
    <w:p w:rsidR="00AE6222" w:rsidRDefault="00AE6222" w:rsidP="006525EC">
      <w:pPr>
        <w:autoSpaceDE w:val="0"/>
        <w:autoSpaceDN w:val="0"/>
        <w:adjustRightInd w:val="0"/>
        <w:spacing w:after="0" w:line="240" w:lineRule="auto"/>
        <w:jc w:val="both"/>
        <w:rPr>
          <w:rFonts w:ascii="Times New Roman" w:hAnsi="Times New Roman" w:cs="Times New Roman"/>
          <w:color w:val="000000"/>
          <w:sz w:val="20"/>
          <w:szCs w:val="20"/>
        </w:rPr>
      </w:pPr>
    </w:p>
    <w:p w:rsidR="00AE6222" w:rsidRDefault="00AE6222" w:rsidP="006525EC">
      <w:pPr>
        <w:autoSpaceDE w:val="0"/>
        <w:autoSpaceDN w:val="0"/>
        <w:adjustRightInd w:val="0"/>
        <w:spacing w:after="0" w:line="240" w:lineRule="auto"/>
        <w:jc w:val="both"/>
        <w:rPr>
          <w:rFonts w:ascii="Times New Roman" w:hAnsi="Times New Roman" w:cs="Times New Roman"/>
          <w:color w:val="000000"/>
          <w:sz w:val="20"/>
          <w:szCs w:val="20"/>
        </w:rPr>
      </w:pPr>
    </w:p>
    <w:p w:rsidR="00AE6222" w:rsidRDefault="00AE6222" w:rsidP="006525EC">
      <w:pPr>
        <w:autoSpaceDE w:val="0"/>
        <w:autoSpaceDN w:val="0"/>
        <w:adjustRightInd w:val="0"/>
        <w:spacing w:after="0" w:line="240" w:lineRule="auto"/>
        <w:jc w:val="both"/>
        <w:rPr>
          <w:rFonts w:ascii="Times New Roman" w:hAnsi="Times New Roman" w:cs="Times New Roman"/>
          <w:color w:val="000000"/>
          <w:sz w:val="20"/>
          <w:szCs w:val="20"/>
        </w:rPr>
      </w:pPr>
    </w:p>
    <w:p w:rsidR="00AE6222" w:rsidRDefault="00AE6222" w:rsidP="006525EC">
      <w:pPr>
        <w:autoSpaceDE w:val="0"/>
        <w:autoSpaceDN w:val="0"/>
        <w:adjustRightInd w:val="0"/>
        <w:spacing w:after="0" w:line="240" w:lineRule="auto"/>
        <w:jc w:val="both"/>
        <w:rPr>
          <w:rFonts w:ascii="Times New Roman" w:hAnsi="Times New Roman" w:cs="Times New Roman"/>
          <w:color w:val="000000"/>
          <w:sz w:val="20"/>
          <w:szCs w:val="20"/>
        </w:rPr>
      </w:pPr>
    </w:p>
    <w:p w:rsidR="00AE6222" w:rsidRDefault="00AE6222" w:rsidP="006525EC">
      <w:pPr>
        <w:autoSpaceDE w:val="0"/>
        <w:autoSpaceDN w:val="0"/>
        <w:adjustRightInd w:val="0"/>
        <w:spacing w:after="0" w:line="240" w:lineRule="auto"/>
        <w:jc w:val="both"/>
        <w:rPr>
          <w:rFonts w:ascii="Times New Roman" w:hAnsi="Times New Roman" w:cs="Times New Roman"/>
          <w:color w:val="000000"/>
          <w:sz w:val="20"/>
          <w:szCs w:val="20"/>
        </w:rPr>
      </w:pPr>
    </w:p>
    <w:p w:rsidR="00AE6222" w:rsidRDefault="00AE6222" w:rsidP="006525EC">
      <w:pPr>
        <w:autoSpaceDE w:val="0"/>
        <w:autoSpaceDN w:val="0"/>
        <w:adjustRightInd w:val="0"/>
        <w:spacing w:after="0" w:line="240" w:lineRule="auto"/>
        <w:jc w:val="both"/>
        <w:rPr>
          <w:rFonts w:ascii="Times New Roman" w:hAnsi="Times New Roman" w:cs="Times New Roman"/>
          <w:color w:val="000000"/>
          <w:sz w:val="20"/>
          <w:szCs w:val="20"/>
        </w:rPr>
      </w:pPr>
    </w:p>
    <w:p w:rsidR="006525EC" w:rsidRPr="006525EC" w:rsidRDefault="006525EC" w:rsidP="006525EC">
      <w:pPr>
        <w:autoSpaceDE w:val="0"/>
        <w:autoSpaceDN w:val="0"/>
        <w:adjustRightInd w:val="0"/>
        <w:spacing w:after="0" w:line="240" w:lineRule="auto"/>
        <w:jc w:val="center"/>
        <w:rPr>
          <w:rFonts w:ascii="Times New Roman" w:hAnsi="Times New Roman" w:cs="Times New Roman"/>
          <w:b/>
          <w:i/>
          <w:sz w:val="18"/>
          <w:szCs w:val="18"/>
          <w:lang w:bidi="ar-JO"/>
        </w:rPr>
      </w:pPr>
      <w:r w:rsidRPr="006525EC">
        <w:rPr>
          <w:rFonts w:ascii="Times New Roman" w:hAnsi="Times New Roman" w:cs="Times New Roman"/>
          <w:b/>
          <w:i/>
          <w:sz w:val="18"/>
          <w:szCs w:val="18"/>
          <w:lang w:bidi="ar-JO"/>
        </w:rPr>
        <w:t>Table 1. Alteration in TNM staging by PET</w:t>
      </w:r>
    </w:p>
    <w:tbl>
      <w:tblPr>
        <w:tblStyle w:val="TableGrid"/>
        <w:tblW w:w="0" w:type="auto"/>
        <w:jc w:val="center"/>
        <w:tblLook w:val="04A0" w:firstRow="1" w:lastRow="0" w:firstColumn="1" w:lastColumn="0" w:noHBand="0" w:noVBand="1"/>
      </w:tblPr>
      <w:tblGrid>
        <w:gridCol w:w="4219"/>
        <w:gridCol w:w="3969"/>
      </w:tblGrid>
      <w:tr w:rsidR="006525EC" w:rsidRPr="002F587E" w:rsidTr="006525EC">
        <w:trPr>
          <w:jc w:val="center"/>
        </w:trPr>
        <w:tc>
          <w:tcPr>
            <w:tcW w:w="4219" w:type="dxa"/>
          </w:tcPr>
          <w:p w:rsidR="006525EC" w:rsidRPr="002F587E" w:rsidRDefault="006525EC" w:rsidP="00AE6222">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CT stage</w:t>
            </w:r>
          </w:p>
        </w:tc>
        <w:tc>
          <w:tcPr>
            <w:tcW w:w="3969" w:type="dxa"/>
          </w:tcPr>
          <w:p w:rsidR="006525EC" w:rsidRPr="002F587E" w:rsidRDefault="006525EC" w:rsidP="00AE6222">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PET/CT stage</w:t>
            </w:r>
          </w:p>
        </w:tc>
      </w:tr>
      <w:tr w:rsidR="006525EC" w:rsidRPr="002F587E" w:rsidTr="00AE6222">
        <w:trPr>
          <w:trHeight w:val="503"/>
          <w:jc w:val="center"/>
        </w:trPr>
        <w:tc>
          <w:tcPr>
            <w:tcW w:w="4219" w:type="dxa"/>
          </w:tcPr>
          <w:p w:rsidR="006525EC" w:rsidRPr="002F587E" w:rsidRDefault="006525EC" w:rsidP="00AE6222">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 xml:space="preserve">Stage IA </w:t>
            </w:r>
          </w:p>
          <w:p w:rsidR="006525EC" w:rsidRPr="002F587E" w:rsidRDefault="006525EC" w:rsidP="00AE6222">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T1N0 ( n = 2)</w:t>
            </w:r>
          </w:p>
          <w:p w:rsidR="006525EC" w:rsidRPr="002F587E" w:rsidRDefault="006525EC" w:rsidP="00AE6222">
            <w:pPr>
              <w:autoSpaceDE w:val="0"/>
              <w:autoSpaceDN w:val="0"/>
              <w:adjustRightInd w:val="0"/>
              <w:rPr>
                <w:rFonts w:ascii="Times New Roman" w:hAnsi="Times New Roman"/>
                <w:sz w:val="24"/>
                <w:szCs w:val="24"/>
                <w:lang w:bidi="ar-JO"/>
              </w:rPr>
            </w:pPr>
          </w:p>
        </w:tc>
        <w:tc>
          <w:tcPr>
            <w:tcW w:w="3969" w:type="dxa"/>
          </w:tcPr>
          <w:p w:rsidR="006525EC" w:rsidRPr="002F587E" w:rsidRDefault="006525EC" w:rsidP="00AE6222">
            <w:pPr>
              <w:autoSpaceDE w:val="0"/>
              <w:autoSpaceDN w:val="0"/>
              <w:adjustRightInd w:val="0"/>
              <w:rPr>
                <w:rFonts w:ascii="Times New Roman" w:hAnsi="Times New Roman"/>
                <w:sz w:val="24"/>
                <w:szCs w:val="24"/>
                <w:lang w:bidi="ar-JO"/>
              </w:rPr>
            </w:pPr>
          </w:p>
          <w:p w:rsidR="006525EC" w:rsidRPr="002F587E" w:rsidRDefault="006525EC" w:rsidP="00AE6222">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T1N0(n=2)</w:t>
            </w:r>
          </w:p>
        </w:tc>
      </w:tr>
      <w:tr w:rsidR="006525EC" w:rsidRPr="002F587E" w:rsidTr="006525EC">
        <w:trPr>
          <w:trHeight w:val="977"/>
          <w:jc w:val="center"/>
        </w:trPr>
        <w:tc>
          <w:tcPr>
            <w:tcW w:w="4219" w:type="dxa"/>
          </w:tcPr>
          <w:p w:rsidR="006525EC" w:rsidRPr="002F587E" w:rsidRDefault="006525EC" w:rsidP="00AE6222">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Stage II</w:t>
            </w:r>
          </w:p>
          <w:p w:rsidR="006525EC" w:rsidRPr="002F587E" w:rsidRDefault="006525EC" w:rsidP="00AE6222">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T1N1(n=2)</w:t>
            </w:r>
          </w:p>
        </w:tc>
        <w:tc>
          <w:tcPr>
            <w:tcW w:w="3969" w:type="dxa"/>
          </w:tcPr>
          <w:p w:rsidR="006525EC" w:rsidRPr="002F587E" w:rsidRDefault="006525EC" w:rsidP="00AE6222">
            <w:pPr>
              <w:autoSpaceDE w:val="0"/>
              <w:autoSpaceDN w:val="0"/>
              <w:adjustRightInd w:val="0"/>
              <w:rPr>
                <w:rFonts w:ascii="Times New Roman" w:hAnsi="Times New Roman"/>
                <w:sz w:val="24"/>
                <w:szCs w:val="24"/>
                <w:lang w:bidi="ar-JO"/>
              </w:rPr>
            </w:pPr>
          </w:p>
          <w:p w:rsidR="006525EC" w:rsidRPr="002F587E" w:rsidRDefault="006525EC" w:rsidP="00AE6222">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T1N1 (n=1)</w:t>
            </w:r>
          </w:p>
          <w:p w:rsidR="006525EC" w:rsidRPr="002F587E" w:rsidRDefault="006525EC" w:rsidP="00AE6222">
            <w:pPr>
              <w:autoSpaceDE w:val="0"/>
              <w:autoSpaceDN w:val="0"/>
              <w:adjustRightInd w:val="0"/>
              <w:rPr>
                <w:rFonts w:ascii="Times New Roman" w:hAnsi="Times New Roman"/>
                <w:color w:val="FF0000"/>
                <w:sz w:val="24"/>
                <w:szCs w:val="24"/>
                <w:lang w:bidi="ar-JO"/>
              </w:rPr>
            </w:pPr>
            <w:r w:rsidRPr="002F587E">
              <w:rPr>
                <w:rFonts w:ascii="Times New Roman" w:hAnsi="Times New Roman"/>
                <w:color w:val="FF0000"/>
                <w:sz w:val="24"/>
                <w:szCs w:val="24"/>
                <w:lang w:bidi="ar-JO"/>
              </w:rPr>
              <w:t>T1N2 (n=1)</w:t>
            </w:r>
          </w:p>
        </w:tc>
      </w:tr>
      <w:tr w:rsidR="006525EC" w:rsidRPr="002F587E" w:rsidTr="006525EC">
        <w:trPr>
          <w:trHeight w:val="990"/>
          <w:jc w:val="center"/>
        </w:trPr>
        <w:tc>
          <w:tcPr>
            <w:tcW w:w="4219" w:type="dxa"/>
          </w:tcPr>
          <w:p w:rsidR="006525EC" w:rsidRPr="002F587E" w:rsidRDefault="006525EC" w:rsidP="00AE6222">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 xml:space="preserve">Stage IIIA </w:t>
            </w:r>
          </w:p>
          <w:p w:rsidR="006525EC" w:rsidRPr="002F587E" w:rsidRDefault="006525EC" w:rsidP="00AE6222">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T1N2(n=4)</w:t>
            </w:r>
          </w:p>
          <w:p w:rsidR="006525EC" w:rsidRPr="002F587E" w:rsidRDefault="006525EC" w:rsidP="00AE6222">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T2N2(n=6)</w:t>
            </w:r>
          </w:p>
          <w:p w:rsidR="006525EC" w:rsidRPr="002F587E" w:rsidRDefault="006525EC" w:rsidP="00AE6222">
            <w:pPr>
              <w:autoSpaceDE w:val="0"/>
              <w:autoSpaceDN w:val="0"/>
              <w:adjustRightInd w:val="0"/>
              <w:rPr>
                <w:rFonts w:ascii="Times New Roman" w:hAnsi="Times New Roman"/>
                <w:sz w:val="24"/>
                <w:szCs w:val="24"/>
                <w:lang w:bidi="ar-JO"/>
              </w:rPr>
            </w:pPr>
          </w:p>
          <w:p w:rsidR="006525EC" w:rsidRPr="002F587E" w:rsidRDefault="006525EC" w:rsidP="00AE6222">
            <w:pPr>
              <w:autoSpaceDE w:val="0"/>
              <w:autoSpaceDN w:val="0"/>
              <w:adjustRightInd w:val="0"/>
              <w:rPr>
                <w:rFonts w:ascii="Times New Roman" w:hAnsi="Times New Roman"/>
                <w:sz w:val="24"/>
                <w:szCs w:val="24"/>
                <w:lang w:bidi="ar-JO"/>
              </w:rPr>
            </w:pPr>
          </w:p>
          <w:p w:rsidR="006525EC" w:rsidRPr="002F587E" w:rsidRDefault="006525EC" w:rsidP="00AE6222">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T3N2(n=3)</w:t>
            </w:r>
          </w:p>
        </w:tc>
        <w:tc>
          <w:tcPr>
            <w:tcW w:w="3969" w:type="dxa"/>
          </w:tcPr>
          <w:p w:rsidR="006525EC" w:rsidRPr="002F587E" w:rsidRDefault="006525EC" w:rsidP="00AE6222">
            <w:pPr>
              <w:autoSpaceDE w:val="0"/>
              <w:autoSpaceDN w:val="0"/>
              <w:adjustRightInd w:val="0"/>
              <w:rPr>
                <w:rFonts w:ascii="Times New Roman" w:hAnsi="Times New Roman"/>
                <w:sz w:val="24"/>
                <w:szCs w:val="24"/>
                <w:lang w:bidi="ar-JO"/>
              </w:rPr>
            </w:pPr>
          </w:p>
          <w:p w:rsidR="006525EC" w:rsidRPr="002F587E" w:rsidRDefault="006525EC" w:rsidP="00AE6222">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T1N2(n=4)</w:t>
            </w:r>
          </w:p>
          <w:p w:rsidR="006525EC" w:rsidRPr="002F587E" w:rsidRDefault="006525EC" w:rsidP="00AE6222">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T2N2(n=4)</w:t>
            </w:r>
          </w:p>
          <w:p w:rsidR="006525EC" w:rsidRPr="002F587E" w:rsidRDefault="006525EC" w:rsidP="00AE6222">
            <w:pPr>
              <w:autoSpaceDE w:val="0"/>
              <w:autoSpaceDN w:val="0"/>
              <w:adjustRightInd w:val="0"/>
              <w:rPr>
                <w:rFonts w:ascii="Times New Roman" w:hAnsi="Times New Roman"/>
                <w:color w:val="FF0000"/>
                <w:sz w:val="24"/>
                <w:szCs w:val="24"/>
                <w:lang w:bidi="ar-JO"/>
              </w:rPr>
            </w:pPr>
            <w:r w:rsidRPr="002F587E">
              <w:rPr>
                <w:rFonts w:ascii="Times New Roman" w:hAnsi="Times New Roman"/>
                <w:color w:val="FF0000"/>
                <w:sz w:val="24"/>
                <w:szCs w:val="24"/>
                <w:lang w:bidi="ar-JO"/>
              </w:rPr>
              <w:t>T4N2(n=1)</w:t>
            </w:r>
          </w:p>
          <w:p w:rsidR="006525EC" w:rsidRPr="002F587E" w:rsidRDefault="006525EC" w:rsidP="00AE6222">
            <w:pPr>
              <w:autoSpaceDE w:val="0"/>
              <w:autoSpaceDN w:val="0"/>
              <w:adjustRightInd w:val="0"/>
              <w:rPr>
                <w:rFonts w:ascii="Times New Roman" w:hAnsi="Times New Roman"/>
                <w:color w:val="FF0000"/>
                <w:sz w:val="24"/>
                <w:szCs w:val="24"/>
                <w:lang w:bidi="ar-JO"/>
              </w:rPr>
            </w:pPr>
            <w:r w:rsidRPr="002F587E">
              <w:rPr>
                <w:rFonts w:ascii="Times New Roman" w:hAnsi="Times New Roman"/>
                <w:color w:val="FF0000"/>
                <w:sz w:val="24"/>
                <w:szCs w:val="24"/>
                <w:lang w:bidi="ar-JO"/>
              </w:rPr>
              <w:t>T2N3(n=1)</w:t>
            </w:r>
          </w:p>
          <w:p w:rsidR="006525EC" w:rsidRPr="002F587E" w:rsidRDefault="006525EC" w:rsidP="00AE6222">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T3N2(n=2)</w:t>
            </w:r>
          </w:p>
          <w:p w:rsidR="006525EC" w:rsidRPr="002F587E" w:rsidRDefault="006525EC" w:rsidP="00AE6222">
            <w:pPr>
              <w:autoSpaceDE w:val="0"/>
              <w:autoSpaceDN w:val="0"/>
              <w:adjustRightInd w:val="0"/>
              <w:rPr>
                <w:rFonts w:ascii="Times New Roman" w:hAnsi="Times New Roman"/>
                <w:color w:val="FF0000"/>
                <w:sz w:val="24"/>
                <w:szCs w:val="24"/>
                <w:lang w:bidi="ar-JO"/>
              </w:rPr>
            </w:pPr>
            <w:r w:rsidRPr="002F587E">
              <w:rPr>
                <w:rFonts w:ascii="Times New Roman" w:hAnsi="Times New Roman"/>
                <w:color w:val="FF0000"/>
                <w:sz w:val="24"/>
                <w:szCs w:val="24"/>
                <w:lang w:bidi="ar-JO"/>
              </w:rPr>
              <w:t>T3N2M1(n=1. Bone mets)</w:t>
            </w:r>
          </w:p>
        </w:tc>
      </w:tr>
      <w:tr w:rsidR="006525EC" w:rsidRPr="002F587E" w:rsidTr="006525EC">
        <w:trPr>
          <w:trHeight w:val="836"/>
          <w:jc w:val="center"/>
        </w:trPr>
        <w:tc>
          <w:tcPr>
            <w:tcW w:w="4219" w:type="dxa"/>
          </w:tcPr>
          <w:p w:rsidR="006525EC" w:rsidRPr="002F587E" w:rsidRDefault="006525EC" w:rsidP="00AE6222">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Stage IIIB</w:t>
            </w:r>
          </w:p>
          <w:p w:rsidR="006525EC" w:rsidRPr="002F587E" w:rsidRDefault="006525EC" w:rsidP="00AE6222">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T1N3(n=1)</w:t>
            </w:r>
          </w:p>
          <w:p w:rsidR="006525EC" w:rsidRPr="002F587E" w:rsidRDefault="006525EC" w:rsidP="00AE6222">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T2N3(n=1)</w:t>
            </w:r>
          </w:p>
          <w:p w:rsidR="006525EC" w:rsidRPr="002F587E" w:rsidRDefault="006525EC" w:rsidP="00AE6222">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T4N2(n=1)</w:t>
            </w:r>
          </w:p>
        </w:tc>
        <w:tc>
          <w:tcPr>
            <w:tcW w:w="3969" w:type="dxa"/>
          </w:tcPr>
          <w:p w:rsidR="006525EC" w:rsidRPr="002F587E" w:rsidRDefault="006525EC" w:rsidP="00AE6222">
            <w:pPr>
              <w:autoSpaceDE w:val="0"/>
              <w:autoSpaceDN w:val="0"/>
              <w:adjustRightInd w:val="0"/>
              <w:rPr>
                <w:rFonts w:ascii="Times New Roman" w:hAnsi="Times New Roman"/>
                <w:sz w:val="24"/>
                <w:szCs w:val="24"/>
                <w:lang w:bidi="ar-JO"/>
              </w:rPr>
            </w:pPr>
          </w:p>
          <w:p w:rsidR="006525EC" w:rsidRPr="002F587E" w:rsidRDefault="006525EC" w:rsidP="00AE6222">
            <w:pPr>
              <w:autoSpaceDE w:val="0"/>
              <w:autoSpaceDN w:val="0"/>
              <w:adjustRightInd w:val="0"/>
              <w:rPr>
                <w:rFonts w:ascii="Times New Roman" w:hAnsi="Times New Roman"/>
                <w:color w:val="FF0000"/>
                <w:sz w:val="24"/>
                <w:szCs w:val="24"/>
                <w:lang w:bidi="ar-JO"/>
              </w:rPr>
            </w:pPr>
            <w:r w:rsidRPr="002F587E">
              <w:rPr>
                <w:rFonts w:ascii="Times New Roman" w:hAnsi="Times New Roman"/>
                <w:color w:val="FF0000"/>
                <w:sz w:val="24"/>
                <w:szCs w:val="24"/>
                <w:lang w:bidi="ar-JO"/>
              </w:rPr>
              <w:t>T2N3(n=1)</w:t>
            </w:r>
          </w:p>
          <w:p w:rsidR="006525EC" w:rsidRPr="002F587E" w:rsidRDefault="006525EC" w:rsidP="00AE6222">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T2N3(n=1)</w:t>
            </w:r>
          </w:p>
          <w:p w:rsidR="006525EC" w:rsidRPr="002F587E" w:rsidRDefault="006525EC" w:rsidP="00AE6222">
            <w:pPr>
              <w:autoSpaceDE w:val="0"/>
              <w:autoSpaceDN w:val="0"/>
              <w:adjustRightInd w:val="0"/>
              <w:rPr>
                <w:rFonts w:ascii="Times New Roman" w:hAnsi="Times New Roman"/>
                <w:color w:val="C00000"/>
                <w:sz w:val="24"/>
                <w:szCs w:val="24"/>
                <w:lang w:bidi="ar-JO"/>
              </w:rPr>
            </w:pPr>
            <w:r w:rsidRPr="002F587E">
              <w:rPr>
                <w:rFonts w:ascii="Times New Roman" w:hAnsi="Times New Roman"/>
                <w:color w:val="C00000"/>
                <w:sz w:val="24"/>
                <w:szCs w:val="24"/>
                <w:lang w:bidi="ar-JO"/>
              </w:rPr>
              <w:t>T4N2M1(n=1. Lung mets)</w:t>
            </w:r>
          </w:p>
        </w:tc>
      </w:tr>
    </w:tbl>
    <w:p w:rsidR="006525EC" w:rsidRDefault="006525EC" w:rsidP="006525EC">
      <w:pPr>
        <w:autoSpaceDE w:val="0"/>
        <w:autoSpaceDN w:val="0"/>
        <w:adjustRightInd w:val="0"/>
        <w:spacing w:after="0" w:line="240" w:lineRule="auto"/>
        <w:jc w:val="both"/>
        <w:rPr>
          <w:rFonts w:ascii="Times New Roman" w:hAnsi="Times New Roman" w:cs="Times New Roman"/>
          <w:color w:val="000000"/>
          <w:sz w:val="20"/>
          <w:szCs w:val="20"/>
        </w:rPr>
      </w:pPr>
    </w:p>
    <w:p w:rsidR="006525EC" w:rsidRPr="006525EC" w:rsidRDefault="006525EC" w:rsidP="006525EC">
      <w:pPr>
        <w:spacing w:after="0" w:line="240" w:lineRule="auto"/>
        <w:jc w:val="center"/>
        <w:rPr>
          <w:rFonts w:ascii="Times New Roman" w:hAnsi="Times New Roman" w:cs="Times New Roman"/>
          <w:b/>
          <w:i/>
          <w:sz w:val="18"/>
          <w:szCs w:val="18"/>
          <w:lang w:bidi="ar-JO"/>
        </w:rPr>
      </w:pPr>
      <w:r w:rsidRPr="006525EC">
        <w:rPr>
          <w:rFonts w:ascii="Times New Roman" w:hAnsi="Times New Roman" w:cs="Times New Roman"/>
          <w:b/>
          <w:i/>
          <w:sz w:val="18"/>
          <w:szCs w:val="18"/>
          <w:lang w:bidi="ar-JO"/>
        </w:rPr>
        <w:t>Table 2. Alteration in target volumes and normal tissue doses: CT vs. PET/CT</w:t>
      </w:r>
    </w:p>
    <w:tbl>
      <w:tblPr>
        <w:tblStyle w:val="TableGrid"/>
        <w:tblW w:w="0" w:type="auto"/>
        <w:jc w:val="center"/>
        <w:tblLook w:val="04A0" w:firstRow="1" w:lastRow="0" w:firstColumn="1" w:lastColumn="0" w:noHBand="0" w:noVBand="1"/>
      </w:tblPr>
      <w:tblGrid>
        <w:gridCol w:w="883"/>
        <w:gridCol w:w="666"/>
        <w:gridCol w:w="870"/>
        <w:gridCol w:w="704"/>
        <w:gridCol w:w="1017"/>
        <w:gridCol w:w="679"/>
        <w:gridCol w:w="1017"/>
        <w:gridCol w:w="836"/>
        <w:gridCol w:w="1017"/>
        <w:gridCol w:w="680"/>
        <w:gridCol w:w="1017"/>
      </w:tblGrid>
      <w:tr w:rsidR="006525EC" w:rsidRPr="002F587E" w:rsidTr="006525EC">
        <w:trPr>
          <w:trHeight w:val="983"/>
          <w:jc w:val="center"/>
        </w:trPr>
        <w:tc>
          <w:tcPr>
            <w:tcW w:w="800" w:type="dxa"/>
            <w:vAlign w:val="center"/>
          </w:tcPr>
          <w:p w:rsidR="006525EC" w:rsidRPr="002F587E" w:rsidRDefault="006525EC" w:rsidP="006525EC">
            <w:pPr>
              <w:autoSpaceDE w:val="0"/>
              <w:autoSpaceDN w:val="0"/>
              <w:adjustRightInd w:val="0"/>
              <w:jc w:val="center"/>
              <w:rPr>
                <w:rFonts w:ascii="Times New Roman" w:hAnsi="Times New Roman"/>
                <w:sz w:val="24"/>
                <w:szCs w:val="24"/>
                <w:lang w:bidi="ar-JO"/>
              </w:rPr>
            </w:pPr>
            <w:r w:rsidRPr="002F587E">
              <w:rPr>
                <w:rFonts w:ascii="Times New Roman" w:hAnsi="Times New Roman"/>
                <w:sz w:val="24"/>
                <w:szCs w:val="24"/>
                <w:lang w:bidi="ar-JO"/>
              </w:rPr>
              <w:t>Patient #</w:t>
            </w:r>
          </w:p>
          <w:p w:rsidR="006525EC" w:rsidRPr="002F587E" w:rsidRDefault="006525EC" w:rsidP="006525EC">
            <w:pPr>
              <w:rPr>
                <w:rFonts w:ascii="Times New Roman" w:hAnsi="Times New Roman"/>
                <w:sz w:val="24"/>
                <w:szCs w:val="24"/>
                <w:lang w:bidi="ar-JO"/>
              </w:rPr>
            </w:pPr>
          </w:p>
        </w:tc>
        <w:tc>
          <w:tcPr>
            <w:tcW w:w="2987" w:type="dxa"/>
            <w:gridSpan w:val="4"/>
          </w:tcPr>
          <w:p w:rsidR="006525EC" w:rsidRPr="002F587E" w:rsidRDefault="006525EC" w:rsidP="006525EC">
            <w:pPr>
              <w:autoSpaceDE w:val="0"/>
              <w:autoSpaceDN w:val="0"/>
              <w:adjustRightInd w:val="0"/>
              <w:jc w:val="center"/>
              <w:rPr>
                <w:rFonts w:ascii="Times New Roman" w:hAnsi="Times New Roman"/>
                <w:i/>
                <w:iCs/>
                <w:sz w:val="24"/>
                <w:szCs w:val="24"/>
                <w:u w:val="single"/>
                <w:lang w:bidi="ar-JO"/>
              </w:rPr>
            </w:pPr>
            <w:r w:rsidRPr="002F587E">
              <w:rPr>
                <w:rFonts w:ascii="Times New Roman" w:hAnsi="Times New Roman"/>
                <w:i/>
                <w:iCs/>
                <w:sz w:val="24"/>
                <w:szCs w:val="24"/>
                <w:u w:val="single"/>
                <w:lang w:bidi="ar-JO"/>
              </w:rPr>
              <w:t>Target Volumes</w:t>
            </w:r>
          </w:p>
          <w:p w:rsidR="006525EC" w:rsidRPr="002F587E" w:rsidRDefault="006525EC" w:rsidP="006525EC">
            <w:pPr>
              <w:autoSpaceDE w:val="0"/>
              <w:autoSpaceDN w:val="0"/>
              <w:adjustRightInd w:val="0"/>
              <w:jc w:val="center"/>
              <w:rPr>
                <w:rFonts w:ascii="Times New Roman" w:hAnsi="Times New Roman"/>
                <w:sz w:val="24"/>
                <w:szCs w:val="24"/>
                <w:lang w:bidi="ar-JO"/>
              </w:rPr>
            </w:pPr>
          </w:p>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 xml:space="preserve">      </w:t>
            </w:r>
          </w:p>
        </w:tc>
        <w:tc>
          <w:tcPr>
            <w:tcW w:w="4735" w:type="dxa"/>
            <w:gridSpan w:val="6"/>
          </w:tcPr>
          <w:p w:rsidR="006525EC" w:rsidRPr="002F587E" w:rsidRDefault="006525EC" w:rsidP="006525EC">
            <w:pPr>
              <w:autoSpaceDE w:val="0"/>
              <w:autoSpaceDN w:val="0"/>
              <w:adjustRightInd w:val="0"/>
              <w:jc w:val="center"/>
              <w:rPr>
                <w:rFonts w:ascii="Times New Roman" w:hAnsi="Times New Roman"/>
                <w:sz w:val="24"/>
                <w:szCs w:val="24"/>
                <w:lang w:bidi="ar-JO"/>
              </w:rPr>
            </w:pPr>
            <w:r w:rsidRPr="002F587E">
              <w:rPr>
                <w:rFonts w:ascii="Times New Roman" w:hAnsi="Times New Roman"/>
                <w:i/>
                <w:iCs/>
                <w:sz w:val="24"/>
                <w:szCs w:val="24"/>
                <w:u w:val="single"/>
                <w:lang w:bidi="ar-JO"/>
              </w:rPr>
              <w:t>Normal tissue doses</w:t>
            </w:r>
            <w:r w:rsidRPr="002F587E">
              <w:rPr>
                <w:rFonts w:ascii="Times New Roman" w:hAnsi="Times New Roman"/>
                <w:sz w:val="24"/>
                <w:szCs w:val="24"/>
                <w:lang w:bidi="ar-JO"/>
              </w:rPr>
              <w:t xml:space="preserve">                                  </w:t>
            </w:r>
          </w:p>
          <w:p w:rsidR="006525EC" w:rsidRPr="002F587E" w:rsidRDefault="006525EC" w:rsidP="006525EC">
            <w:pPr>
              <w:autoSpaceDE w:val="0"/>
              <w:autoSpaceDN w:val="0"/>
              <w:adjustRightInd w:val="0"/>
              <w:rPr>
                <w:rFonts w:ascii="Times New Roman" w:hAnsi="Times New Roman"/>
                <w:sz w:val="24"/>
                <w:szCs w:val="24"/>
                <w:lang w:bidi="ar-JO"/>
              </w:rPr>
            </w:pPr>
          </w:p>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 xml:space="preserve">                        </w:t>
            </w:r>
          </w:p>
        </w:tc>
      </w:tr>
      <w:tr w:rsidR="006525EC" w:rsidRPr="002F587E" w:rsidTr="006525EC">
        <w:trPr>
          <w:jc w:val="center"/>
        </w:trPr>
        <w:tc>
          <w:tcPr>
            <w:tcW w:w="800" w:type="dxa"/>
          </w:tcPr>
          <w:p w:rsidR="006525EC" w:rsidRPr="002F587E" w:rsidRDefault="006525EC" w:rsidP="006525EC">
            <w:pPr>
              <w:autoSpaceDE w:val="0"/>
              <w:autoSpaceDN w:val="0"/>
              <w:adjustRightInd w:val="0"/>
              <w:rPr>
                <w:rFonts w:ascii="Times New Roman" w:hAnsi="Times New Roman"/>
                <w:sz w:val="24"/>
                <w:szCs w:val="24"/>
                <w:lang w:bidi="ar-JO"/>
              </w:rPr>
            </w:pPr>
          </w:p>
        </w:tc>
        <w:tc>
          <w:tcPr>
            <w:tcW w:w="1429" w:type="dxa"/>
            <w:gridSpan w:val="2"/>
          </w:tcPr>
          <w:p w:rsidR="006525EC" w:rsidRPr="002F587E" w:rsidRDefault="006525EC" w:rsidP="006525EC">
            <w:pPr>
              <w:autoSpaceDE w:val="0"/>
              <w:autoSpaceDN w:val="0"/>
              <w:adjustRightInd w:val="0"/>
              <w:jc w:val="center"/>
              <w:rPr>
                <w:rFonts w:ascii="Times New Roman" w:hAnsi="Times New Roman"/>
                <w:color w:val="FF0000"/>
                <w:sz w:val="24"/>
                <w:szCs w:val="24"/>
                <w:lang w:bidi="ar-JO"/>
              </w:rPr>
            </w:pPr>
            <w:r w:rsidRPr="002F587E">
              <w:rPr>
                <w:rFonts w:ascii="Times New Roman" w:hAnsi="Times New Roman"/>
                <w:color w:val="FF0000"/>
                <w:sz w:val="24"/>
                <w:szCs w:val="24"/>
                <w:u w:val="single"/>
                <w:lang w:bidi="ar-JO"/>
              </w:rPr>
              <w:t>GTV(cm3)</w:t>
            </w:r>
          </w:p>
        </w:tc>
        <w:tc>
          <w:tcPr>
            <w:tcW w:w="1558" w:type="dxa"/>
            <w:gridSpan w:val="2"/>
          </w:tcPr>
          <w:p w:rsidR="006525EC" w:rsidRPr="002F587E" w:rsidRDefault="006525EC" w:rsidP="006525EC">
            <w:pPr>
              <w:autoSpaceDE w:val="0"/>
              <w:autoSpaceDN w:val="0"/>
              <w:adjustRightInd w:val="0"/>
              <w:rPr>
                <w:rFonts w:ascii="Times New Roman" w:hAnsi="Times New Roman"/>
                <w:color w:val="FF0000"/>
                <w:sz w:val="24"/>
                <w:szCs w:val="24"/>
                <w:lang w:bidi="ar-JO"/>
              </w:rPr>
            </w:pPr>
            <w:r w:rsidRPr="002F587E">
              <w:rPr>
                <w:rFonts w:ascii="Times New Roman" w:hAnsi="Times New Roman"/>
                <w:color w:val="FF0000"/>
                <w:sz w:val="24"/>
                <w:szCs w:val="24"/>
                <w:u w:val="single"/>
                <w:lang w:bidi="ar-JO"/>
              </w:rPr>
              <w:t>PTV(cm3)</w:t>
            </w:r>
          </w:p>
        </w:tc>
        <w:tc>
          <w:tcPr>
            <w:tcW w:w="1533" w:type="dxa"/>
            <w:gridSpan w:val="2"/>
          </w:tcPr>
          <w:p w:rsidR="006525EC" w:rsidRPr="002F587E" w:rsidRDefault="006525EC" w:rsidP="006525EC">
            <w:pPr>
              <w:autoSpaceDE w:val="0"/>
              <w:autoSpaceDN w:val="0"/>
              <w:adjustRightInd w:val="0"/>
              <w:rPr>
                <w:rFonts w:ascii="Times New Roman" w:hAnsi="Times New Roman"/>
                <w:color w:val="FF0000"/>
                <w:sz w:val="24"/>
                <w:szCs w:val="24"/>
                <w:lang w:bidi="ar-JO"/>
              </w:rPr>
            </w:pPr>
            <w:r w:rsidRPr="002F587E">
              <w:rPr>
                <w:rFonts w:ascii="Times New Roman" w:hAnsi="Times New Roman"/>
                <w:color w:val="FF0000"/>
                <w:sz w:val="24"/>
                <w:szCs w:val="24"/>
                <w:u w:val="single"/>
                <w:lang w:bidi="ar-JO"/>
              </w:rPr>
              <w:t>MLD(Gy)</w:t>
            </w:r>
          </w:p>
        </w:tc>
        <w:tc>
          <w:tcPr>
            <w:tcW w:w="1668" w:type="dxa"/>
            <w:gridSpan w:val="2"/>
          </w:tcPr>
          <w:p w:rsidR="006525EC" w:rsidRPr="002F587E" w:rsidRDefault="006525EC" w:rsidP="006525EC">
            <w:pPr>
              <w:autoSpaceDE w:val="0"/>
              <w:autoSpaceDN w:val="0"/>
              <w:adjustRightInd w:val="0"/>
              <w:rPr>
                <w:rFonts w:ascii="Times New Roman" w:hAnsi="Times New Roman"/>
                <w:color w:val="FF0000"/>
                <w:sz w:val="24"/>
                <w:szCs w:val="24"/>
                <w:lang w:bidi="ar-JO"/>
              </w:rPr>
            </w:pPr>
            <w:r w:rsidRPr="002F587E">
              <w:rPr>
                <w:rFonts w:ascii="Times New Roman" w:hAnsi="Times New Roman"/>
                <w:color w:val="FF0000"/>
                <w:sz w:val="24"/>
                <w:szCs w:val="24"/>
                <w:u w:val="single"/>
                <w:lang w:bidi="ar-JO"/>
              </w:rPr>
              <w:t>V20(%)</w:t>
            </w:r>
          </w:p>
        </w:tc>
        <w:tc>
          <w:tcPr>
            <w:tcW w:w="1534" w:type="dxa"/>
            <w:gridSpan w:val="2"/>
          </w:tcPr>
          <w:p w:rsidR="006525EC" w:rsidRPr="002F587E" w:rsidRDefault="006525EC" w:rsidP="006525EC">
            <w:pPr>
              <w:autoSpaceDE w:val="0"/>
              <w:autoSpaceDN w:val="0"/>
              <w:adjustRightInd w:val="0"/>
              <w:rPr>
                <w:rFonts w:ascii="Times New Roman" w:hAnsi="Times New Roman"/>
                <w:color w:val="FF0000"/>
                <w:sz w:val="24"/>
                <w:szCs w:val="24"/>
                <w:lang w:bidi="ar-JO"/>
              </w:rPr>
            </w:pPr>
            <w:r w:rsidRPr="002F587E">
              <w:rPr>
                <w:rFonts w:ascii="Times New Roman" w:hAnsi="Times New Roman"/>
                <w:color w:val="FF0000"/>
                <w:sz w:val="24"/>
                <w:szCs w:val="24"/>
                <w:u w:val="single"/>
                <w:lang w:bidi="ar-JO"/>
              </w:rPr>
              <w:t>MED(Gy)</w:t>
            </w:r>
          </w:p>
        </w:tc>
      </w:tr>
      <w:tr w:rsidR="006525EC" w:rsidRPr="002F587E" w:rsidTr="006525EC">
        <w:trPr>
          <w:jc w:val="center"/>
        </w:trPr>
        <w:tc>
          <w:tcPr>
            <w:tcW w:w="800" w:type="dxa"/>
          </w:tcPr>
          <w:p w:rsidR="006525EC" w:rsidRPr="002F587E" w:rsidRDefault="006525EC" w:rsidP="006525EC">
            <w:pPr>
              <w:autoSpaceDE w:val="0"/>
              <w:autoSpaceDN w:val="0"/>
              <w:adjustRightInd w:val="0"/>
              <w:rPr>
                <w:rFonts w:ascii="Times New Roman" w:hAnsi="Times New Roman"/>
                <w:sz w:val="24"/>
                <w:szCs w:val="24"/>
                <w:lang w:bidi="ar-JO"/>
              </w:rPr>
            </w:pPr>
          </w:p>
        </w:tc>
        <w:tc>
          <w:tcPr>
            <w:tcW w:w="666"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CT</w:t>
            </w:r>
          </w:p>
        </w:tc>
        <w:tc>
          <w:tcPr>
            <w:tcW w:w="763"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 xml:space="preserve">PET/C          </w:t>
            </w:r>
          </w:p>
        </w:tc>
        <w:tc>
          <w:tcPr>
            <w:tcW w:w="70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CT</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PET/CT</w:t>
            </w:r>
          </w:p>
        </w:tc>
        <w:tc>
          <w:tcPr>
            <w:tcW w:w="679"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CT</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 xml:space="preserve">PET/CT   </w:t>
            </w:r>
          </w:p>
        </w:tc>
        <w:tc>
          <w:tcPr>
            <w:tcW w:w="81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CT</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 xml:space="preserve">PET/CT     </w:t>
            </w:r>
          </w:p>
        </w:tc>
        <w:tc>
          <w:tcPr>
            <w:tcW w:w="680"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CT</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PET/CT</w:t>
            </w:r>
          </w:p>
        </w:tc>
      </w:tr>
      <w:tr w:rsidR="006525EC" w:rsidRPr="002F587E" w:rsidTr="006525EC">
        <w:trPr>
          <w:jc w:val="center"/>
        </w:trPr>
        <w:tc>
          <w:tcPr>
            <w:tcW w:w="8522" w:type="dxa"/>
            <w:gridSpan w:val="11"/>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i/>
                <w:iCs/>
                <w:sz w:val="24"/>
                <w:szCs w:val="24"/>
                <w:lang w:bidi="ar-JO"/>
              </w:rPr>
              <w:t>Significant GTV decrease ( Atelectasis)</w:t>
            </w:r>
          </w:p>
        </w:tc>
      </w:tr>
      <w:tr w:rsidR="006525EC" w:rsidRPr="002F587E" w:rsidTr="006525EC">
        <w:trPr>
          <w:jc w:val="center"/>
        </w:trPr>
        <w:tc>
          <w:tcPr>
            <w:tcW w:w="800"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w:t>
            </w:r>
          </w:p>
        </w:tc>
        <w:tc>
          <w:tcPr>
            <w:tcW w:w="666"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254</w:t>
            </w:r>
          </w:p>
        </w:tc>
        <w:tc>
          <w:tcPr>
            <w:tcW w:w="763"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184</w:t>
            </w:r>
          </w:p>
        </w:tc>
        <w:tc>
          <w:tcPr>
            <w:tcW w:w="70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835</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543</w:t>
            </w:r>
          </w:p>
        </w:tc>
        <w:tc>
          <w:tcPr>
            <w:tcW w:w="679"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12.5</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7.7</w:t>
            </w:r>
          </w:p>
        </w:tc>
        <w:tc>
          <w:tcPr>
            <w:tcW w:w="81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29%</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15%</w:t>
            </w:r>
          </w:p>
        </w:tc>
        <w:tc>
          <w:tcPr>
            <w:tcW w:w="680"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42</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22</w:t>
            </w:r>
          </w:p>
        </w:tc>
      </w:tr>
      <w:tr w:rsidR="006525EC" w:rsidRPr="002F587E" w:rsidTr="006525EC">
        <w:trPr>
          <w:jc w:val="center"/>
        </w:trPr>
        <w:tc>
          <w:tcPr>
            <w:tcW w:w="800"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2</w:t>
            </w:r>
          </w:p>
        </w:tc>
        <w:tc>
          <w:tcPr>
            <w:tcW w:w="666"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465</w:t>
            </w:r>
          </w:p>
        </w:tc>
        <w:tc>
          <w:tcPr>
            <w:tcW w:w="763"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120</w:t>
            </w:r>
          </w:p>
        </w:tc>
        <w:tc>
          <w:tcPr>
            <w:tcW w:w="70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985</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520</w:t>
            </w:r>
          </w:p>
        </w:tc>
        <w:tc>
          <w:tcPr>
            <w:tcW w:w="679"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19</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13</w:t>
            </w:r>
          </w:p>
        </w:tc>
        <w:tc>
          <w:tcPr>
            <w:tcW w:w="81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32.2%</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28.5%</w:t>
            </w:r>
          </w:p>
        </w:tc>
        <w:tc>
          <w:tcPr>
            <w:tcW w:w="680"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39</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26</w:t>
            </w:r>
          </w:p>
        </w:tc>
      </w:tr>
      <w:tr w:rsidR="006525EC" w:rsidRPr="002F587E" w:rsidTr="006525EC">
        <w:trPr>
          <w:jc w:val="center"/>
        </w:trPr>
        <w:tc>
          <w:tcPr>
            <w:tcW w:w="800"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3</w:t>
            </w:r>
          </w:p>
        </w:tc>
        <w:tc>
          <w:tcPr>
            <w:tcW w:w="666"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370</w:t>
            </w:r>
          </w:p>
        </w:tc>
        <w:tc>
          <w:tcPr>
            <w:tcW w:w="763"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99</w:t>
            </w:r>
          </w:p>
        </w:tc>
        <w:tc>
          <w:tcPr>
            <w:tcW w:w="70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920</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430</w:t>
            </w:r>
          </w:p>
        </w:tc>
        <w:tc>
          <w:tcPr>
            <w:tcW w:w="679"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20.3</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15.2</w:t>
            </w:r>
          </w:p>
        </w:tc>
        <w:tc>
          <w:tcPr>
            <w:tcW w:w="81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28.5%</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16.3%</w:t>
            </w:r>
          </w:p>
        </w:tc>
        <w:tc>
          <w:tcPr>
            <w:tcW w:w="680"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29.2</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24.8</w:t>
            </w:r>
          </w:p>
        </w:tc>
      </w:tr>
      <w:tr w:rsidR="006525EC" w:rsidRPr="002F587E" w:rsidTr="006525EC">
        <w:trPr>
          <w:jc w:val="center"/>
        </w:trPr>
        <w:tc>
          <w:tcPr>
            <w:tcW w:w="800"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4</w:t>
            </w:r>
          </w:p>
        </w:tc>
        <w:tc>
          <w:tcPr>
            <w:tcW w:w="666"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510</w:t>
            </w:r>
          </w:p>
        </w:tc>
        <w:tc>
          <w:tcPr>
            <w:tcW w:w="763"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267</w:t>
            </w:r>
          </w:p>
        </w:tc>
        <w:tc>
          <w:tcPr>
            <w:tcW w:w="70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1206</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566</w:t>
            </w:r>
          </w:p>
        </w:tc>
        <w:tc>
          <w:tcPr>
            <w:tcW w:w="679"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21</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14.6</w:t>
            </w:r>
          </w:p>
        </w:tc>
        <w:tc>
          <w:tcPr>
            <w:tcW w:w="81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35%</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21%</w:t>
            </w:r>
          </w:p>
        </w:tc>
        <w:tc>
          <w:tcPr>
            <w:tcW w:w="680"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34</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25</w:t>
            </w:r>
          </w:p>
        </w:tc>
      </w:tr>
      <w:tr w:rsidR="006525EC" w:rsidRPr="002F587E" w:rsidTr="006525EC">
        <w:trPr>
          <w:jc w:val="center"/>
        </w:trPr>
        <w:tc>
          <w:tcPr>
            <w:tcW w:w="8522" w:type="dxa"/>
            <w:gridSpan w:val="11"/>
          </w:tcPr>
          <w:p w:rsidR="006525EC" w:rsidRPr="002F587E" w:rsidRDefault="006525EC" w:rsidP="006525EC">
            <w:pPr>
              <w:autoSpaceDE w:val="0"/>
              <w:autoSpaceDN w:val="0"/>
              <w:adjustRightInd w:val="0"/>
              <w:rPr>
                <w:rFonts w:ascii="Times New Roman" w:hAnsi="Times New Roman"/>
                <w:i/>
                <w:iCs/>
                <w:sz w:val="24"/>
                <w:szCs w:val="24"/>
                <w:lang w:bidi="ar-JO"/>
              </w:rPr>
            </w:pPr>
            <w:r w:rsidRPr="002F587E">
              <w:rPr>
                <w:rFonts w:ascii="Times New Roman" w:hAnsi="Times New Roman"/>
                <w:i/>
                <w:iCs/>
                <w:sz w:val="24"/>
                <w:szCs w:val="24"/>
                <w:lang w:bidi="ar-JO"/>
              </w:rPr>
              <w:t>Significant GTV increase</w:t>
            </w:r>
          </w:p>
        </w:tc>
      </w:tr>
      <w:tr w:rsidR="006525EC" w:rsidRPr="002F587E" w:rsidTr="006525EC">
        <w:trPr>
          <w:jc w:val="center"/>
        </w:trPr>
        <w:tc>
          <w:tcPr>
            <w:tcW w:w="800"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5</w:t>
            </w:r>
          </w:p>
        </w:tc>
        <w:tc>
          <w:tcPr>
            <w:tcW w:w="666"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42</w:t>
            </w:r>
          </w:p>
        </w:tc>
        <w:tc>
          <w:tcPr>
            <w:tcW w:w="763"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78</w:t>
            </w:r>
          </w:p>
        </w:tc>
        <w:tc>
          <w:tcPr>
            <w:tcW w:w="70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215</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365</w:t>
            </w:r>
          </w:p>
        </w:tc>
        <w:tc>
          <w:tcPr>
            <w:tcW w:w="679"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13.1</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15.6</w:t>
            </w:r>
          </w:p>
        </w:tc>
        <w:tc>
          <w:tcPr>
            <w:tcW w:w="81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24%</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29.5%</w:t>
            </w:r>
          </w:p>
        </w:tc>
        <w:tc>
          <w:tcPr>
            <w:tcW w:w="680"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5.8</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8.2</w:t>
            </w:r>
          </w:p>
        </w:tc>
      </w:tr>
      <w:tr w:rsidR="006525EC" w:rsidRPr="002F587E" w:rsidTr="006525EC">
        <w:trPr>
          <w:jc w:val="center"/>
        </w:trPr>
        <w:tc>
          <w:tcPr>
            <w:tcW w:w="800"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6</w:t>
            </w:r>
          </w:p>
        </w:tc>
        <w:tc>
          <w:tcPr>
            <w:tcW w:w="666"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110</w:t>
            </w:r>
          </w:p>
        </w:tc>
        <w:tc>
          <w:tcPr>
            <w:tcW w:w="763"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190</w:t>
            </w:r>
          </w:p>
        </w:tc>
        <w:tc>
          <w:tcPr>
            <w:tcW w:w="70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367</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628</w:t>
            </w:r>
          </w:p>
        </w:tc>
        <w:tc>
          <w:tcPr>
            <w:tcW w:w="679"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15.2</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18</w:t>
            </w:r>
          </w:p>
        </w:tc>
        <w:tc>
          <w:tcPr>
            <w:tcW w:w="81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21%</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30.4%</w:t>
            </w:r>
          </w:p>
        </w:tc>
        <w:tc>
          <w:tcPr>
            <w:tcW w:w="680"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17.5</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26.4</w:t>
            </w:r>
          </w:p>
        </w:tc>
      </w:tr>
      <w:tr w:rsidR="006525EC" w:rsidRPr="002F587E" w:rsidTr="006525EC">
        <w:trPr>
          <w:jc w:val="center"/>
        </w:trPr>
        <w:tc>
          <w:tcPr>
            <w:tcW w:w="800"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7</w:t>
            </w:r>
          </w:p>
        </w:tc>
        <w:tc>
          <w:tcPr>
            <w:tcW w:w="666"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68</w:t>
            </w:r>
          </w:p>
        </w:tc>
        <w:tc>
          <w:tcPr>
            <w:tcW w:w="763"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375</w:t>
            </w:r>
          </w:p>
        </w:tc>
        <w:tc>
          <w:tcPr>
            <w:tcW w:w="70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140</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930</w:t>
            </w:r>
          </w:p>
        </w:tc>
        <w:tc>
          <w:tcPr>
            <w:tcW w:w="679"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10.7</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20.3</w:t>
            </w:r>
          </w:p>
        </w:tc>
        <w:tc>
          <w:tcPr>
            <w:tcW w:w="81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18%</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27.6%</w:t>
            </w:r>
          </w:p>
        </w:tc>
        <w:tc>
          <w:tcPr>
            <w:tcW w:w="680"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7</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41</w:t>
            </w:r>
          </w:p>
        </w:tc>
      </w:tr>
      <w:tr w:rsidR="006525EC" w:rsidRPr="002F587E" w:rsidTr="006525EC">
        <w:trPr>
          <w:jc w:val="center"/>
        </w:trPr>
        <w:tc>
          <w:tcPr>
            <w:tcW w:w="800"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8</w:t>
            </w:r>
          </w:p>
        </w:tc>
        <w:tc>
          <w:tcPr>
            <w:tcW w:w="666"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270</w:t>
            </w:r>
          </w:p>
        </w:tc>
        <w:tc>
          <w:tcPr>
            <w:tcW w:w="763"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456</w:t>
            </w:r>
          </w:p>
        </w:tc>
        <w:tc>
          <w:tcPr>
            <w:tcW w:w="70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550</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1020</w:t>
            </w:r>
          </w:p>
        </w:tc>
        <w:tc>
          <w:tcPr>
            <w:tcW w:w="679"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17</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19.5</w:t>
            </w:r>
          </w:p>
        </w:tc>
        <w:tc>
          <w:tcPr>
            <w:tcW w:w="81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23.3%</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35.6%</w:t>
            </w:r>
          </w:p>
        </w:tc>
        <w:tc>
          <w:tcPr>
            <w:tcW w:w="680"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35</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38</w:t>
            </w:r>
          </w:p>
        </w:tc>
      </w:tr>
      <w:tr w:rsidR="006525EC" w:rsidRPr="002F587E" w:rsidTr="006525EC">
        <w:trPr>
          <w:jc w:val="center"/>
        </w:trPr>
        <w:tc>
          <w:tcPr>
            <w:tcW w:w="800"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9</w:t>
            </w:r>
          </w:p>
        </w:tc>
        <w:tc>
          <w:tcPr>
            <w:tcW w:w="666"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95</w:t>
            </w:r>
          </w:p>
        </w:tc>
        <w:tc>
          <w:tcPr>
            <w:tcW w:w="763"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163</w:t>
            </w:r>
          </w:p>
        </w:tc>
        <w:tc>
          <w:tcPr>
            <w:tcW w:w="70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274</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468</w:t>
            </w:r>
          </w:p>
        </w:tc>
        <w:tc>
          <w:tcPr>
            <w:tcW w:w="679"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8.6</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12.8</w:t>
            </w:r>
          </w:p>
        </w:tc>
        <w:tc>
          <w:tcPr>
            <w:tcW w:w="81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10.6%</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13.4%</w:t>
            </w:r>
          </w:p>
        </w:tc>
        <w:tc>
          <w:tcPr>
            <w:tcW w:w="680"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5.5</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8.4</w:t>
            </w:r>
          </w:p>
        </w:tc>
      </w:tr>
      <w:tr w:rsidR="006525EC" w:rsidRPr="002F587E" w:rsidTr="006525EC">
        <w:trPr>
          <w:jc w:val="center"/>
        </w:trPr>
        <w:tc>
          <w:tcPr>
            <w:tcW w:w="800"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10</w:t>
            </w:r>
          </w:p>
        </w:tc>
        <w:tc>
          <w:tcPr>
            <w:tcW w:w="666"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73</w:t>
            </w:r>
          </w:p>
        </w:tc>
        <w:tc>
          <w:tcPr>
            <w:tcW w:w="763"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220</w:t>
            </w:r>
          </w:p>
        </w:tc>
        <w:tc>
          <w:tcPr>
            <w:tcW w:w="70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145</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647</w:t>
            </w:r>
          </w:p>
        </w:tc>
        <w:tc>
          <w:tcPr>
            <w:tcW w:w="679"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6.5</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13.4</w:t>
            </w:r>
          </w:p>
        </w:tc>
        <w:tc>
          <w:tcPr>
            <w:tcW w:w="81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9.7%</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25%</w:t>
            </w:r>
          </w:p>
        </w:tc>
        <w:tc>
          <w:tcPr>
            <w:tcW w:w="680"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10.3</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17.8</w:t>
            </w:r>
          </w:p>
        </w:tc>
      </w:tr>
      <w:tr w:rsidR="006525EC" w:rsidRPr="002F587E" w:rsidTr="006525EC">
        <w:trPr>
          <w:jc w:val="center"/>
        </w:trPr>
        <w:tc>
          <w:tcPr>
            <w:tcW w:w="8522" w:type="dxa"/>
            <w:gridSpan w:val="11"/>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i/>
                <w:iCs/>
                <w:sz w:val="24"/>
                <w:szCs w:val="24"/>
                <w:lang w:bidi="ar-JO"/>
              </w:rPr>
              <w:t>Minimal GTV change</w:t>
            </w:r>
          </w:p>
        </w:tc>
      </w:tr>
      <w:tr w:rsidR="006525EC" w:rsidRPr="002F587E" w:rsidTr="006525EC">
        <w:trPr>
          <w:jc w:val="center"/>
        </w:trPr>
        <w:tc>
          <w:tcPr>
            <w:tcW w:w="800"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11</w:t>
            </w:r>
          </w:p>
        </w:tc>
        <w:tc>
          <w:tcPr>
            <w:tcW w:w="666"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145</w:t>
            </w:r>
          </w:p>
        </w:tc>
        <w:tc>
          <w:tcPr>
            <w:tcW w:w="763"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132</w:t>
            </w:r>
          </w:p>
        </w:tc>
        <w:tc>
          <w:tcPr>
            <w:tcW w:w="70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446</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439</w:t>
            </w:r>
          </w:p>
        </w:tc>
        <w:tc>
          <w:tcPr>
            <w:tcW w:w="679"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12</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14.2</w:t>
            </w:r>
          </w:p>
        </w:tc>
        <w:tc>
          <w:tcPr>
            <w:tcW w:w="81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21%</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22%</w:t>
            </w:r>
          </w:p>
        </w:tc>
        <w:tc>
          <w:tcPr>
            <w:tcW w:w="680"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24</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25.3</w:t>
            </w:r>
          </w:p>
        </w:tc>
      </w:tr>
      <w:tr w:rsidR="006525EC" w:rsidRPr="002F587E" w:rsidTr="006525EC">
        <w:trPr>
          <w:jc w:val="center"/>
        </w:trPr>
        <w:tc>
          <w:tcPr>
            <w:tcW w:w="800"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12</w:t>
            </w:r>
          </w:p>
        </w:tc>
        <w:tc>
          <w:tcPr>
            <w:tcW w:w="666"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130</w:t>
            </w:r>
          </w:p>
        </w:tc>
        <w:tc>
          <w:tcPr>
            <w:tcW w:w="763"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124</w:t>
            </w:r>
          </w:p>
        </w:tc>
        <w:tc>
          <w:tcPr>
            <w:tcW w:w="70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405</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394</w:t>
            </w:r>
          </w:p>
        </w:tc>
        <w:tc>
          <w:tcPr>
            <w:tcW w:w="679"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22.7</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21.4</w:t>
            </w:r>
          </w:p>
        </w:tc>
        <w:tc>
          <w:tcPr>
            <w:tcW w:w="81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19.6%</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19.2%</w:t>
            </w:r>
          </w:p>
        </w:tc>
        <w:tc>
          <w:tcPr>
            <w:tcW w:w="680"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16</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17.5</w:t>
            </w:r>
          </w:p>
        </w:tc>
      </w:tr>
      <w:tr w:rsidR="006525EC" w:rsidRPr="002F587E" w:rsidTr="006525EC">
        <w:trPr>
          <w:jc w:val="center"/>
        </w:trPr>
        <w:tc>
          <w:tcPr>
            <w:tcW w:w="800"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13</w:t>
            </w:r>
          </w:p>
        </w:tc>
        <w:tc>
          <w:tcPr>
            <w:tcW w:w="666"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36</w:t>
            </w:r>
          </w:p>
        </w:tc>
        <w:tc>
          <w:tcPr>
            <w:tcW w:w="763"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53</w:t>
            </w:r>
          </w:p>
        </w:tc>
        <w:tc>
          <w:tcPr>
            <w:tcW w:w="70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155</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164</w:t>
            </w:r>
          </w:p>
        </w:tc>
        <w:tc>
          <w:tcPr>
            <w:tcW w:w="679"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11.8</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13.4</w:t>
            </w:r>
          </w:p>
        </w:tc>
        <w:tc>
          <w:tcPr>
            <w:tcW w:w="81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12.2%</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13.6%</w:t>
            </w:r>
          </w:p>
        </w:tc>
        <w:tc>
          <w:tcPr>
            <w:tcW w:w="680"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4.1</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4.6</w:t>
            </w:r>
          </w:p>
        </w:tc>
      </w:tr>
      <w:tr w:rsidR="006525EC" w:rsidRPr="002F587E" w:rsidTr="006525EC">
        <w:trPr>
          <w:jc w:val="center"/>
        </w:trPr>
        <w:tc>
          <w:tcPr>
            <w:tcW w:w="800"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14</w:t>
            </w:r>
          </w:p>
        </w:tc>
        <w:tc>
          <w:tcPr>
            <w:tcW w:w="666"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274</w:t>
            </w:r>
          </w:p>
        </w:tc>
        <w:tc>
          <w:tcPr>
            <w:tcW w:w="763"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265</w:t>
            </w:r>
          </w:p>
        </w:tc>
        <w:tc>
          <w:tcPr>
            <w:tcW w:w="70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742</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713</w:t>
            </w:r>
          </w:p>
        </w:tc>
        <w:tc>
          <w:tcPr>
            <w:tcW w:w="679"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14.8</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14.3</w:t>
            </w:r>
          </w:p>
        </w:tc>
        <w:tc>
          <w:tcPr>
            <w:tcW w:w="81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27%</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25.8%</w:t>
            </w:r>
          </w:p>
        </w:tc>
        <w:tc>
          <w:tcPr>
            <w:tcW w:w="680"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34</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31</w:t>
            </w:r>
          </w:p>
        </w:tc>
      </w:tr>
      <w:tr w:rsidR="006525EC" w:rsidRPr="002F587E" w:rsidTr="006525EC">
        <w:trPr>
          <w:jc w:val="center"/>
        </w:trPr>
        <w:tc>
          <w:tcPr>
            <w:tcW w:w="800"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15</w:t>
            </w:r>
          </w:p>
        </w:tc>
        <w:tc>
          <w:tcPr>
            <w:tcW w:w="666"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98</w:t>
            </w:r>
          </w:p>
        </w:tc>
        <w:tc>
          <w:tcPr>
            <w:tcW w:w="763"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85</w:t>
            </w:r>
          </w:p>
        </w:tc>
        <w:tc>
          <w:tcPr>
            <w:tcW w:w="70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324</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316</w:t>
            </w:r>
          </w:p>
        </w:tc>
        <w:tc>
          <w:tcPr>
            <w:tcW w:w="679"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11.5</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10.9</w:t>
            </w:r>
          </w:p>
        </w:tc>
        <w:tc>
          <w:tcPr>
            <w:tcW w:w="81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16%</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14.7%</w:t>
            </w:r>
          </w:p>
        </w:tc>
        <w:tc>
          <w:tcPr>
            <w:tcW w:w="680"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7.4</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7</w:t>
            </w:r>
          </w:p>
        </w:tc>
      </w:tr>
      <w:tr w:rsidR="006525EC" w:rsidRPr="002F587E" w:rsidTr="006525EC">
        <w:trPr>
          <w:jc w:val="center"/>
        </w:trPr>
        <w:tc>
          <w:tcPr>
            <w:tcW w:w="800"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16</w:t>
            </w:r>
          </w:p>
        </w:tc>
        <w:tc>
          <w:tcPr>
            <w:tcW w:w="666"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64</w:t>
            </w:r>
          </w:p>
        </w:tc>
        <w:tc>
          <w:tcPr>
            <w:tcW w:w="763"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71</w:t>
            </w:r>
          </w:p>
        </w:tc>
        <w:tc>
          <w:tcPr>
            <w:tcW w:w="70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214</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220</w:t>
            </w:r>
          </w:p>
        </w:tc>
        <w:tc>
          <w:tcPr>
            <w:tcW w:w="679"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8.2</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8.5</w:t>
            </w:r>
          </w:p>
        </w:tc>
        <w:tc>
          <w:tcPr>
            <w:tcW w:w="81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12.3%</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12.6%</w:t>
            </w:r>
          </w:p>
        </w:tc>
        <w:tc>
          <w:tcPr>
            <w:tcW w:w="680"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0</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1.3</w:t>
            </w:r>
          </w:p>
        </w:tc>
      </w:tr>
      <w:tr w:rsidR="006525EC" w:rsidRPr="002F587E" w:rsidTr="006525EC">
        <w:trPr>
          <w:jc w:val="center"/>
        </w:trPr>
        <w:tc>
          <w:tcPr>
            <w:tcW w:w="800"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17</w:t>
            </w:r>
          </w:p>
        </w:tc>
        <w:tc>
          <w:tcPr>
            <w:tcW w:w="666"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452</w:t>
            </w:r>
          </w:p>
        </w:tc>
        <w:tc>
          <w:tcPr>
            <w:tcW w:w="763"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471</w:t>
            </w:r>
          </w:p>
        </w:tc>
        <w:tc>
          <w:tcPr>
            <w:tcW w:w="70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963</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987</w:t>
            </w:r>
          </w:p>
        </w:tc>
        <w:tc>
          <w:tcPr>
            <w:tcW w:w="679"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17.8</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18.4</w:t>
            </w:r>
          </w:p>
        </w:tc>
        <w:tc>
          <w:tcPr>
            <w:tcW w:w="81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35.6%</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36.7%</w:t>
            </w:r>
          </w:p>
        </w:tc>
        <w:tc>
          <w:tcPr>
            <w:tcW w:w="680"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41</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42.3</w:t>
            </w:r>
          </w:p>
        </w:tc>
      </w:tr>
      <w:tr w:rsidR="006525EC" w:rsidRPr="002F587E" w:rsidTr="006525EC">
        <w:trPr>
          <w:jc w:val="center"/>
        </w:trPr>
        <w:tc>
          <w:tcPr>
            <w:tcW w:w="800"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18</w:t>
            </w:r>
          </w:p>
        </w:tc>
        <w:tc>
          <w:tcPr>
            <w:tcW w:w="666"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321</w:t>
            </w:r>
          </w:p>
        </w:tc>
        <w:tc>
          <w:tcPr>
            <w:tcW w:w="763"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317</w:t>
            </w:r>
          </w:p>
        </w:tc>
        <w:tc>
          <w:tcPr>
            <w:tcW w:w="70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784</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769</w:t>
            </w:r>
          </w:p>
        </w:tc>
        <w:tc>
          <w:tcPr>
            <w:tcW w:w="679"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15.7</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15.3</w:t>
            </w:r>
          </w:p>
        </w:tc>
        <w:tc>
          <w:tcPr>
            <w:tcW w:w="81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31%</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28.6%</w:t>
            </w:r>
          </w:p>
        </w:tc>
        <w:tc>
          <w:tcPr>
            <w:tcW w:w="680"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35</w:t>
            </w:r>
          </w:p>
        </w:tc>
        <w:tc>
          <w:tcPr>
            <w:tcW w:w="854" w:type="dxa"/>
          </w:tcPr>
          <w:p w:rsidR="006525EC" w:rsidRPr="002F587E" w:rsidRDefault="006525EC" w:rsidP="006525EC">
            <w:pPr>
              <w:autoSpaceDE w:val="0"/>
              <w:autoSpaceDN w:val="0"/>
              <w:adjustRightInd w:val="0"/>
              <w:rPr>
                <w:rFonts w:ascii="Times New Roman" w:hAnsi="Times New Roman"/>
                <w:sz w:val="24"/>
                <w:szCs w:val="24"/>
                <w:lang w:bidi="ar-JO"/>
              </w:rPr>
            </w:pPr>
            <w:r w:rsidRPr="002F587E">
              <w:rPr>
                <w:rFonts w:ascii="Times New Roman" w:hAnsi="Times New Roman"/>
                <w:sz w:val="24"/>
                <w:szCs w:val="24"/>
                <w:lang w:bidi="ar-JO"/>
              </w:rPr>
              <w:t>34.2</w:t>
            </w:r>
          </w:p>
        </w:tc>
      </w:tr>
    </w:tbl>
    <w:p w:rsidR="00FB3F95" w:rsidRDefault="00FB3F95" w:rsidP="006525EC">
      <w:pPr>
        <w:spacing w:after="0" w:line="240" w:lineRule="auto"/>
        <w:jc w:val="both"/>
        <w:rPr>
          <w:rFonts w:ascii="Times New Roman" w:hAnsi="Times New Roman" w:cs="Times New Roman"/>
          <w:color w:val="000000"/>
          <w:sz w:val="20"/>
          <w:szCs w:val="20"/>
        </w:rPr>
      </w:pPr>
    </w:p>
    <w:p w:rsidR="006525EC" w:rsidRPr="006525EC" w:rsidRDefault="006525EC" w:rsidP="006525EC">
      <w:pPr>
        <w:autoSpaceDE w:val="0"/>
        <w:autoSpaceDN w:val="0"/>
        <w:adjustRightInd w:val="0"/>
        <w:spacing w:after="0" w:line="240" w:lineRule="auto"/>
        <w:rPr>
          <w:rFonts w:ascii="Times New Roman" w:hAnsi="Times New Roman" w:cs="Times New Roman"/>
          <w:sz w:val="20"/>
          <w:szCs w:val="20"/>
        </w:rPr>
      </w:pPr>
      <w:r w:rsidRPr="006525EC">
        <w:rPr>
          <w:rFonts w:ascii="Times New Roman" w:hAnsi="Times New Roman" w:cs="Times New Roman"/>
          <w:iCs/>
          <w:sz w:val="20"/>
          <w:szCs w:val="20"/>
        </w:rPr>
        <w:t xml:space="preserve">Abbreviations: </w:t>
      </w:r>
      <w:r w:rsidRPr="006525EC">
        <w:rPr>
          <w:rFonts w:ascii="Times New Roman" w:hAnsi="Times New Roman" w:cs="Times New Roman"/>
          <w:sz w:val="20"/>
          <w:szCs w:val="20"/>
        </w:rPr>
        <w:t>CT _ computed tomography; PET_ positron emission tomography; GTV _ gross tumor volume; PTV _ planning target volume; MLD _ mean lung dose; MED _ mean esophageal dose.</w:t>
      </w:r>
    </w:p>
    <w:p w:rsidR="006525EC" w:rsidRPr="006525EC" w:rsidRDefault="006525EC" w:rsidP="006525EC">
      <w:pPr>
        <w:spacing w:after="0" w:line="240" w:lineRule="auto"/>
        <w:jc w:val="both"/>
        <w:rPr>
          <w:rFonts w:ascii="Times New Roman" w:hAnsi="Times New Roman" w:cs="Times New Roman"/>
          <w:b/>
          <w:color w:val="000000" w:themeColor="text1"/>
          <w:sz w:val="20"/>
          <w:szCs w:val="20"/>
        </w:rPr>
      </w:pPr>
    </w:p>
    <w:p w:rsidR="00FB3F95" w:rsidRPr="00100098" w:rsidRDefault="00FB3F95" w:rsidP="006525EC">
      <w:pPr>
        <w:spacing w:after="0" w:line="240" w:lineRule="auto"/>
        <w:rPr>
          <w:rFonts w:ascii="Times New Roman" w:hAnsi="Times New Roman"/>
          <w:b/>
          <w:bCs/>
          <w:color w:val="000000" w:themeColor="text1"/>
          <w:sz w:val="24"/>
          <w:szCs w:val="24"/>
        </w:rPr>
      </w:pPr>
      <w:r w:rsidRPr="00100098">
        <w:rPr>
          <w:rFonts w:ascii="Times New Roman" w:hAnsi="Times New Roman"/>
          <w:b/>
          <w:bCs/>
          <w:color w:val="000000" w:themeColor="text1"/>
          <w:sz w:val="24"/>
          <w:szCs w:val="24"/>
        </w:rPr>
        <w:t>Conclusion</w:t>
      </w:r>
    </w:p>
    <w:p w:rsidR="006525EC" w:rsidRPr="006525EC" w:rsidRDefault="006525EC" w:rsidP="006525EC">
      <w:pPr>
        <w:autoSpaceDE w:val="0"/>
        <w:autoSpaceDN w:val="0"/>
        <w:adjustRightInd w:val="0"/>
        <w:spacing w:after="0" w:line="240" w:lineRule="auto"/>
        <w:jc w:val="both"/>
        <w:rPr>
          <w:rFonts w:ascii="Times New Roman" w:hAnsi="Times New Roman" w:cs="Times New Roman"/>
          <w:sz w:val="20"/>
          <w:szCs w:val="20"/>
        </w:rPr>
      </w:pPr>
      <w:r w:rsidRPr="006525EC">
        <w:rPr>
          <w:rFonts w:ascii="Times New Roman" w:hAnsi="Times New Roman" w:cs="Times New Roman"/>
          <w:sz w:val="20"/>
          <w:szCs w:val="20"/>
        </w:rPr>
        <w:t>The results of this prospective trial show that FDG-PET has an impact on the management of patients with NSCLC.</w:t>
      </w:r>
    </w:p>
    <w:p w:rsidR="006525EC" w:rsidRDefault="006525EC" w:rsidP="006525EC">
      <w:pPr>
        <w:autoSpaceDE w:val="0"/>
        <w:autoSpaceDN w:val="0"/>
        <w:adjustRightInd w:val="0"/>
        <w:spacing w:after="0" w:line="240" w:lineRule="auto"/>
        <w:jc w:val="both"/>
        <w:rPr>
          <w:rFonts w:ascii="Times New Roman" w:hAnsi="Times New Roman" w:cs="Times New Roman"/>
          <w:sz w:val="20"/>
          <w:szCs w:val="20"/>
        </w:rPr>
      </w:pPr>
      <w:r w:rsidRPr="006525EC">
        <w:rPr>
          <w:rFonts w:ascii="Times New Roman" w:hAnsi="Times New Roman" w:cs="Times New Roman"/>
          <w:sz w:val="20"/>
          <w:szCs w:val="20"/>
        </w:rPr>
        <w:t xml:space="preserve"> In addition to the alteration of the clinical TNM stage, FDG-PET simulation may have a therapeutic impact by identifying additional gross disease that needs to be included  within the high-dose volume. Our prospective data and the reported literature suggest that in 30–60% of these patients treated with definitive radiation therapy, the use of PET simulation will enhance precision in coverage of the GTV, PTV, as well as affecting dose delivered to normal tissues.</w:t>
      </w:r>
    </w:p>
    <w:p w:rsidR="00CC7E6D" w:rsidRPr="006525EC" w:rsidRDefault="00CC7E6D" w:rsidP="006525EC">
      <w:pPr>
        <w:autoSpaceDE w:val="0"/>
        <w:autoSpaceDN w:val="0"/>
        <w:adjustRightInd w:val="0"/>
        <w:spacing w:after="0" w:line="240" w:lineRule="auto"/>
        <w:jc w:val="both"/>
        <w:rPr>
          <w:rFonts w:ascii="Times New Roman" w:hAnsi="Times New Roman" w:cs="Times New Roman"/>
          <w:sz w:val="20"/>
          <w:szCs w:val="20"/>
        </w:rPr>
      </w:pPr>
    </w:p>
    <w:p w:rsidR="006525EC" w:rsidRPr="006525EC" w:rsidRDefault="006525EC" w:rsidP="006525EC">
      <w:pPr>
        <w:autoSpaceDE w:val="0"/>
        <w:autoSpaceDN w:val="0"/>
        <w:adjustRightInd w:val="0"/>
        <w:spacing w:after="0" w:line="240" w:lineRule="auto"/>
        <w:jc w:val="both"/>
        <w:rPr>
          <w:rFonts w:ascii="Times New Roman" w:hAnsi="Times New Roman" w:cs="Times New Roman"/>
          <w:sz w:val="20"/>
          <w:szCs w:val="20"/>
          <w:lang w:bidi="ar-JO"/>
        </w:rPr>
      </w:pPr>
      <w:r w:rsidRPr="006525EC">
        <w:rPr>
          <w:rFonts w:ascii="Times New Roman" w:hAnsi="Times New Roman" w:cs="Times New Roman"/>
          <w:sz w:val="20"/>
          <w:szCs w:val="20"/>
        </w:rPr>
        <w:t>The future plans of having a PET/CT simulator assigned for radiotherapy simulation and planning is thought to eliminate all the difficulties in the fusion and registration process.</w:t>
      </w:r>
    </w:p>
    <w:p w:rsidR="006525EC" w:rsidRPr="00454531" w:rsidRDefault="006525EC" w:rsidP="006525EC">
      <w:pPr>
        <w:autoSpaceDE w:val="0"/>
        <w:autoSpaceDN w:val="0"/>
        <w:adjustRightInd w:val="0"/>
        <w:spacing w:after="0" w:line="240" w:lineRule="auto"/>
        <w:rPr>
          <w:sz w:val="20"/>
          <w:szCs w:val="20"/>
          <w:lang w:bidi="ar-JO"/>
        </w:rPr>
      </w:pPr>
    </w:p>
    <w:p w:rsidR="009A25A6" w:rsidRPr="00100098" w:rsidRDefault="00FB3F95" w:rsidP="006525EC">
      <w:pPr>
        <w:spacing w:after="0" w:line="240" w:lineRule="auto"/>
        <w:rPr>
          <w:rFonts w:ascii="Times New Roman" w:hAnsi="Times New Roman"/>
          <w:b/>
          <w:bCs/>
          <w:color w:val="000000" w:themeColor="text1"/>
          <w:sz w:val="24"/>
          <w:szCs w:val="24"/>
        </w:rPr>
      </w:pPr>
      <w:r w:rsidRPr="00E83201">
        <w:rPr>
          <w:rFonts w:ascii="Times New Roman" w:hAnsi="Times New Roman" w:cs="Times New Roman"/>
          <w:b/>
          <w:color w:val="000000" w:themeColor="text1"/>
          <w:sz w:val="24"/>
          <w:szCs w:val="24"/>
        </w:rPr>
        <w:t>References</w:t>
      </w:r>
    </w:p>
    <w:p w:rsidR="006525EC" w:rsidRPr="006525EC" w:rsidRDefault="006525EC" w:rsidP="006525EC">
      <w:pPr>
        <w:pStyle w:val="ListParagraph"/>
        <w:widowControl w:val="0"/>
        <w:numPr>
          <w:ilvl w:val="0"/>
          <w:numId w:val="4"/>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6525EC">
        <w:rPr>
          <w:rFonts w:ascii="Times New Roman" w:eastAsia="PMingLiU" w:hAnsi="Times New Roman" w:cs="Times New Roman"/>
          <w:sz w:val="20"/>
          <w:szCs w:val="20"/>
        </w:rPr>
        <w:t>Zhang HX, Yin WB, Zhang LJ, et al. Curative radiotherapy of early operable non-small cell lung cancer. Radiother Oncol  1989;14:89–94.</w:t>
      </w:r>
    </w:p>
    <w:p w:rsidR="006525EC" w:rsidRPr="006525EC" w:rsidRDefault="006525EC" w:rsidP="006525EC">
      <w:pPr>
        <w:pStyle w:val="ListParagraph"/>
        <w:widowControl w:val="0"/>
        <w:numPr>
          <w:ilvl w:val="0"/>
          <w:numId w:val="4"/>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6525EC">
        <w:rPr>
          <w:rFonts w:ascii="Times New Roman" w:eastAsia="PMingLiU" w:hAnsi="Times New Roman" w:cs="Times New Roman"/>
          <w:sz w:val="20"/>
          <w:szCs w:val="20"/>
        </w:rPr>
        <w:t>Dillman RO, Herndon J, Seagren SL, et al. Improved survival in stage III non-small-cell lung cancer: Seven year follow-up of Cancer and Leukemia Group B (CALGB) 8433 trial. J Natl</w:t>
      </w:r>
      <w:r>
        <w:rPr>
          <w:rFonts w:ascii="Times New Roman" w:eastAsia="PMingLiU" w:hAnsi="Times New Roman" w:cs="Times New Roman"/>
          <w:sz w:val="20"/>
          <w:szCs w:val="20"/>
        </w:rPr>
        <w:t xml:space="preserve"> </w:t>
      </w:r>
      <w:r w:rsidRPr="006525EC">
        <w:rPr>
          <w:rFonts w:ascii="Times New Roman" w:eastAsia="PMingLiU" w:hAnsi="Times New Roman" w:cs="Times New Roman"/>
          <w:sz w:val="20"/>
          <w:szCs w:val="20"/>
        </w:rPr>
        <w:t>Cancer Inst 1996;88:1210–1215</w:t>
      </w:r>
    </w:p>
    <w:p w:rsidR="006525EC" w:rsidRPr="006525EC" w:rsidRDefault="006525EC" w:rsidP="006525EC">
      <w:pPr>
        <w:pStyle w:val="ListParagraph"/>
        <w:widowControl w:val="0"/>
        <w:numPr>
          <w:ilvl w:val="0"/>
          <w:numId w:val="4"/>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6525EC">
        <w:rPr>
          <w:rFonts w:ascii="Times New Roman" w:eastAsia="PMingLiU" w:hAnsi="Times New Roman" w:cs="Times New Roman"/>
          <w:sz w:val="20"/>
          <w:szCs w:val="20"/>
        </w:rPr>
        <w:t>Kaskowitz L, Graham MV, Emami B, et al. Radiation therapy alone for Stage I non-small cell lung cancer. Int J Radiat Oncol Biol Phys 1993;27:517–523.</w:t>
      </w:r>
    </w:p>
    <w:p w:rsidR="006525EC" w:rsidRPr="006525EC" w:rsidRDefault="006525EC" w:rsidP="006525EC">
      <w:pPr>
        <w:pStyle w:val="ListParagraph"/>
        <w:widowControl w:val="0"/>
        <w:numPr>
          <w:ilvl w:val="0"/>
          <w:numId w:val="4"/>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6525EC">
        <w:rPr>
          <w:rFonts w:ascii="Times New Roman" w:eastAsia="PMingLiU" w:hAnsi="Times New Roman" w:cs="Times New Roman"/>
          <w:sz w:val="20"/>
          <w:szCs w:val="20"/>
        </w:rPr>
        <w:t>LeChevalier T, Brisgand D, Douillard JY. Randomized study of vinorelbine and cisplatin versus vindesine and cisplatin versus vinorelbine alone in advanced non-small-cell lung cancer: Results of a European multicenter trial including 612 patients. J Clin Oncol 1994;12:360–367.</w:t>
      </w:r>
    </w:p>
    <w:p w:rsidR="006525EC" w:rsidRPr="006525EC" w:rsidRDefault="006525EC" w:rsidP="006525EC">
      <w:pPr>
        <w:pStyle w:val="ListParagraph"/>
        <w:widowControl w:val="0"/>
        <w:numPr>
          <w:ilvl w:val="0"/>
          <w:numId w:val="4"/>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6525EC">
        <w:rPr>
          <w:rFonts w:ascii="Times New Roman" w:eastAsia="PMingLiU" w:hAnsi="Times New Roman" w:cs="Times New Roman"/>
          <w:sz w:val="20"/>
          <w:szCs w:val="20"/>
        </w:rPr>
        <w:t>Toloza EM, Harpole L, McCrory DC. Noninvasive staging of non-small cell lung cancer: A review of the current evidence. Chest 2003;123:137S–146.</w:t>
      </w:r>
    </w:p>
    <w:p w:rsidR="006525EC" w:rsidRPr="006525EC" w:rsidRDefault="006525EC" w:rsidP="006525EC">
      <w:pPr>
        <w:pStyle w:val="ListParagraph"/>
        <w:widowControl w:val="0"/>
        <w:numPr>
          <w:ilvl w:val="0"/>
          <w:numId w:val="4"/>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6525EC">
        <w:rPr>
          <w:rFonts w:ascii="Times New Roman" w:eastAsia="PMingLiU" w:hAnsi="Times New Roman" w:cs="Times New Roman"/>
          <w:sz w:val="20"/>
          <w:szCs w:val="20"/>
        </w:rPr>
        <w:t>Mah K, Caldwell C, Ung Y, et al. The impact of (18)FDGPET on target and critical organs in CT-based treatment planning of patients with poorly defined non-small cell lung carcinoma:</w:t>
      </w:r>
      <w:r>
        <w:rPr>
          <w:rFonts w:ascii="Times New Roman" w:eastAsia="PMingLiU" w:hAnsi="Times New Roman" w:cs="Times New Roman"/>
          <w:sz w:val="20"/>
          <w:szCs w:val="20"/>
        </w:rPr>
        <w:t xml:space="preserve"> </w:t>
      </w:r>
      <w:r w:rsidRPr="006525EC">
        <w:rPr>
          <w:rFonts w:ascii="Times New Roman" w:eastAsia="PMingLiU" w:hAnsi="Times New Roman" w:cs="Times New Roman"/>
          <w:sz w:val="20"/>
          <w:szCs w:val="20"/>
        </w:rPr>
        <w:t>A prospective study. Int J Radiat Oncol Biol Phys 2002;52:339–350.</w:t>
      </w:r>
    </w:p>
    <w:p w:rsidR="006525EC" w:rsidRPr="006525EC" w:rsidRDefault="006525EC" w:rsidP="006525EC">
      <w:pPr>
        <w:pStyle w:val="ListParagraph"/>
        <w:widowControl w:val="0"/>
        <w:numPr>
          <w:ilvl w:val="0"/>
          <w:numId w:val="4"/>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6525EC">
        <w:rPr>
          <w:rFonts w:ascii="Times New Roman" w:eastAsia="PMingLiU" w:hAnsi="Times New Roman" w:cs="Times New Roman"/>
          <w:sz w:val="20"/>
          <w:szCs w:val="20"/>
        </w:rPr>
        <w:t>Munley MT, Marks LB, Scarfone C, et al. Multimodality nuclear medicine imaging in three-dimensional radiation treatment planning for lung cancer: Challenges and prospects.</w:t>
      </w:r>
      <w:r>
        <w:rPr>
          <w:rFonts w:ascii="Times New Roman" w:eastAsia="PMingLiU" w:hAnsi="Times New Roman" w:cs="Times New Roman"/>
          <w:sz w:val="20"/>
          <w:szCs w:val="20"/>
        </w:rPr>
        <w:t xml:space="preserve"> </w:t>
      </w:r>
      <w:r w:rsidRPr="006525EC">
        <w:rPr>
          <w:rFonts w:ascii="Times New Roman" w:eastAsia="PMingLiU" w:hAnsi="Times New Roman" w:cs="Times New Roman"/>
          <w:sz w:val="20"/>
          <w:szCs w:val="20"/>
        </w:rPr>
        <w:t>Lung Cancer 1999;23:105–114.</w:t>
      </w:r>
    </w:p>
    <w:p w:rsidR="006525EC" w:rsidRPr="006525EC" w:rsidRDefault="006525EC" w:rsidP="006525EC">
      <w:pPr>
        <w:pStyle w:val="ListParagraph"/>
        <w:widowControl w:val="0"/>
        <w:numPr>
          <w:ilvl w:val="0"/>
          <w:numId w:val="4"/>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6525EC">
        <w:rPr>
          <w:rFonts w:ascii="Times New Roman" w:eastAsia="PMingLiU" w:hAnsi="Times New Roman" w:cs="Times New Roman"/>
          <w:sz w:val="20"/>
          <w:szCs w:val="20"/>
        </w:rPr>
        <w:t>Nestle U, Walter K, Schmidt S, et al. 18F-deoxyglucose positron emission tomography (FDG-PET) for the planning of radiotherapy in lung cancer: High impact in patients with</w:t>
      </w:r>
      <w:r>
        <w:rPr>
          <w:rFonts w:ascii="Times New Roman" w:eastAsia="PMingLiU" w:hAnsi="Times New Roman" w:cs="Times New Roman"/>
          <w:sz w:val="20"/>
          <w:szCs w:val="20"/>
        </w:rPr>
        <w:t xml:space="preserve"> </w:t>
      </w:r>
      <w:r w:rsidRPr="006525EC">
        <w:rPr>
          <w:rFonts w:ascii="Times New Roman" w:eastAsia="PMingLiU" w:hAnsi="Times New Roman" w:cs="Times New Roman"/>
          <w:sz w:val="20"/>
          <w:szCs w:val="20"/>
        </w:rPr>
        <w:t>atelectasis. Int J Radiat Oncol Biol Phys 1999;44:593–597.</w:t>
      </w:r>
    </w:p>
    <w:p w:rsidR="006525EC" w:rsidRPr="006525EC" w:rsidRDefault="006525EC" w:rsidP="006525EC">
      <w:pPr>
        <w:pStyle w:val="ListParagraph"/>
        <w:widowControl w:val="0"/>
        <w:numPr>
          <w:ilvl w:val="0"/>
          <w:numId w:val="4"/>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6525EC">
        <w:rPr>
          <w:rFonts w:ascii="Times New Roman" w:eastAsia="PMingLiU" w:hAnsi="Times New Roman" w:cs="Times New Roman"/>
          <w:sz w:val="20"/>
          <w:szCs w:val="20"/>
        </w:rPr>
        <w:t>Lardinois D, Weder W, Hany TF, et al. Staging of non-small cell lung cancer with integrated positron-emission tomography and computed tomography. N Engl J Med 2003;348: 2500–2507.</w:t>
      </w:r>
    </w:p>
    <w:p w:rsidR="006525EC" w:rsidRPr="006525EC" w:rsidRDefault="006525EC" w:rsidP="006525EC">
      <w:pPr>
        <w:pStyle w:val="ListParagraph"/>
        <w:widowControl w:val="0"/>
        <w:numPr>
          <w:ilvl w:val="0"/>
          <w:numId w:val="4"/>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6525EC">
        <w:rPr>
          <w:rFonts w:ascii="Times New Roman" w:eastAsia="PMingLiU" w:hAnsi="Times New Roman" w:cs="Times New Roman"/>
          <w:sz w:val="20"/>
          <w:szCs w:val="20"/>
        </w:rPr>
        <w:t>Perez C, Bradley J, Chao C, et al. Functional imaging in treatment planning in radiation therapy: A review. Rays 2002; 27:157–173.</w:t>
      </w:r>
    </w:p>
    <w:p w:rsidR="006525EC" w:rsidRPr="006525EC" w:rsidRDefault="006525EC" w:rsidP="006525EC">
      <w:pPr>
        <w:pStyle w:val="ListParagraph"/>
        <w:widowControl w:val="0"/>
        <w:numPr>
          <w:ilvl w:val="0"/>
          <w:numId w:val="4"/>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6525EC">
        <w:rPr>
          <w:rFonts w:ascii="Times New Roman" w:eastAsia="PMingLiU" w:hAnsi="Times New Roman" w:cs="Times New Roman"/>
          <w:sz w:val="20"/>
          <w:szCs w:val="20"/>
        </w:rPr>
        <w:t>Ross CS, Hussey DH, Pennington MS, et al. Analysis of movement of intrathoracic neoplasms using ultrafast computerized tomography. Int J Radiat Oncol Biol Phys 1990;18:</w:t>
      </w:r>
      <w:r>
        <w:rPr>
          <w:rFonts w:ascii="Times New Roman" w:eastAsia="PMingLiU" w:hAnsi="Times New Roman" w:cs="Times New Roman"/>
          <w:sz w:val="20"/>
          <w:szCs w:val="20"/>
        </w:rPr>
        <w:t xml:space="preserve"> </w:t>
      </w:r>
      <w:r w:rsidRPr="006525EC">
        <w:rPr>
          <w:rFonts w:ascii="Times New Roman" w:eastAsia="PMingLiU" w:hAnsi="Times New Roman" w:cs="Times New Roman"/>
          <w:sz w:val="20"/>
          <w:szCs w:val="20"/>
        </w:rPr>
        <w:t>671–677.</w:t>
      </w:r>
    </w:p>
    <w:p w:rsidR="006525EC" w:rsidRPr="006525EC" w:rsidRDefault="006525EC" w:rsidP="006525EC">
      <w:pPr>
        <w:pStyle w:val="ListParagraph"/>
        <w:widowControl w:val="0"/>
        <w:numPr>
          <w:ilvl w:val="0"/>
          <w:numId w:val="4"/>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6525EC">
        <w:rPr>
          <w:rFonts w:ascii="Times New Roman" w:eastAsia="PMingLiU" w:hAnsi="Times New Roman" w:cs="Times New Roman"/>
          <w:sz w:val="20"/>
          <w:szCs w:val="20"/>
        </w:rPr>
        <w:t>Robertson JM, Ten Haken RK, Hazuka MB, et al. Dose escalation for non-small cell lung cancer using conformal radiation therapy. Int J Radiat Oncol Biol Phys 1997;37(5):</w:t>
      </w:r>
      <w:r>
        <w:rPr>
          <w:rFonts w:ascii="Times New Roman" w:eastAsia="PMingLiU" w:hAnsi="Times New Roman" w:cs="Times New Roman"/>
          <w:sz w:val="20"/>
          <w:szCs w:val="20"/>
        </w:rPr>
        <w:t xml:space="preserve"> </w:t>
      </w:r>
      <w:r w:rsidRPr="006525EC">
        <w:rPr>
          <w:rFonts w:ascii="Times New Roman" w:eastAsia="PMingLiU" w:hAnsi="Times New Roman" w:cs="Times New Roman"/>
          <w:sz w:val="20"/>
          <w:szCs w:val="20"/>
        </w:rPr>
        <w:t>1079–1085.</w:t>
      </w:r>
    </w:p>
    <w:p w:rsidR="006525EC" w:rsidRPr="006525EC" w:rsidRDefault="006525EC" w:rsidP="006525EC">
      <w:pPr>
        <w:pStyle w:val="ListParagraph"/>
        <w:widowControl w:val="0"/>
        <w:numPr>
          <w:ilvl w:val="0"/>
          <w:numId w:val="4"/>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6525EC">
        <w:rPr>
          <w:rFonts w:ascii="Times New Roman" w:eastAsia="PMingLiU" w:hAnsi="Times New Roman" w:cs="Times New Roman"/>
          <w:sz w:val="20"/>
          <w:szCs w:val="20"/>
        </w:rPr>
        <w:t>Armstrong J, Raben A, Zelefsky M, et al. Promising survival with three-dimensional conformal radiation therapy for nonsmall cell lung cancer. Radiother Oncol 1997;44:17–22.</w:t>
      </w:r>
    </w:p>
    <w:p w:rsidR="00FB3F95" w:rsidRPr="006525EC" w:rsidRDefault="006525EC" w:rsidP="006525EC">
      <w:pPr>
        <w:pStyle w:val="ListParagraph"/>
        <w:widowControl w:val="0"/>
        <w:numPr>
          <w:ilvl w:val="0"/>
          <w:numId w:val="4"/>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6525EC">
        <w:rPr>
          <w:rFonts w:ascii="Times New Roman" w:eastAsia="PMingLiU" w:hAnsi="Times New Roman" w:cs="Times New Roman"/>
          <w:sz w:val="20"/>
          <w:szCs w:val="20"/>
        </w:rPr>
        <w:t>Henning GT, Littles JF, Martel ML, et al. Preliminary results of 92.4 Gy or more for non-small cell lung cancer (Abstr.). Int J Radiat Oncol Biol Phys 2000;48(Suppl. 3):233.</w:t>
      </w:r>
    </w:p>
    <w:p w:rsidR="006525EC" w:rsidRDefault="006525EC" w:rsidP="006525EC">
      <w:pPr>
        <w:widowControl w:val="0"/>
        <w:overflowPunct w:val="0"/>
        <w:autoSpaceDE w:val="0"/>
        <w:autoSpaceDN w:val="0"/>
        <w:adjustRightInd w:val="0"/>
        <w:spacing w:after="0" w:line="240" w:lineRule="auto"/>
        <w:ind w:left="360"/>
        <w:jc w:val="both"/>
        <w:rPr>
          <w:rFonts w:ascii="Times New Roman" w:hAnsi="Times New Roman"/>
          <w:i/>
          <w:sz w:val="20"/>
          <w:szCs w:val="20"/>
        </w:rPr>
      </w:pPr>
    </w:p>
    <w:p w:rsidR="00FB3F95" w:rsidRPr="003E0979" w:rsidRDefault="00FB3F95" w:rsidP="006525EC">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FB3F95" w:rsidRPr="006168CE" w:rsidRDefault="00FB3F95" w:rsidP="006525EC">
      <w:pPr>
        <w:spacing w:after="0" w:line="240" w:lineRule="auto"/>
        <w:rPr>
          <w:rFonts w:ascii="Times New Roman" w:hAnsi="Times New Roman" w:cs="Times New Roman"/>
          <w:color w:val="000000" w:themeColor="text1"/>
          <w:sz w:val="20"/>
          <w:szCs w:val="20"/>
        </w:rPr>
      </w:pPr>
    </w:p>
    <w:sectPr w:rsidR="00FB3F95" w:rsidRPr="006168CE" w:rsidSect="00A27FE5">
      <w:type w:val="continuous"/>
      <w:pgSz w:w="12240" w:h="15840"/>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5E2E" w:rsidRDefault="00F95E2E" w:rsidP="00670B7E">
      <w:pPr>
        <w:spacing w:after="0" w:line="240" w:lineRule="auto"/>
      </w:pPr>
      <w:r>
        <w:separator/>
      </w:r>
    </w:p>
  </w:endnote>
  <w:endnote w:type="continuationSeparator" w:id="0">
    <w:p w:rsidR="00F95E2E" w:rsidRDefault="00F95E2E" w:rsidP="00670B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dvGulliv-R">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A48" w:rsidRDefault="006B1A4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7C7B" w:rsidRDefault="00DB7C7B" w:rsidP="00DB7C7B">
    <w:pPr>
      <w:pStyle w:val="Footer"/>
      <w:rPr>
        <w:noProof/>
        <w:color w:val="E36C0A" w:themeColor="accent6" w:themeShade="BF"/>
        <w:sz w:val="18"/>
        <w:szCs w:val="18"/>
      </w:rPr>
    </w:pPr>
    <w:r w:rsidRPr="00144E15">
      <w:rPr>
        <w:noProof/>
        <w:color w:val="E36C0A" w:themeColor="accent6" w:themeShade="BF"/>
        <w:sz w:val="18"/>
        <w:szCs w:val="18"/>
      </w:rPr>
      <w:t>© I</w:t>
    </w:r>
    <w:r w:rsidRPr="00144E15">
      <w:rPr>
        <w:noProof/>
        <w:color w:val="595959" w:themeColor="text1" w:themeTint="A6"/>
        <w:sz w:val="18"/>
        <w:szCs w:val="18"/>
      </w:rPr>
      <w:t xml:space="preserve">ndian </w:t>
    </w:r>
    <w:r w:rsidRPr="00144E15">
      <w:rPr>
        <w:noProof/>
        <w:color w:val="E36C0A" w:themeColor="accent6" w:themeShade="BF"/>
        <w:sz w:val="18"/>
        <w:szCs w:val="18"/>
      </w:rPr>
      <w:t>J</w:t>
    </w:r>
    <w:r w:rsidRPr="00144E15">
      <w:rPr>
        <w:noProof/>
        <w:color w:val="595959" w:themeColor="text1" w:themeTint="A6"/>
        <w:sz w:val="18"/>
        <w:szCs w:val="18"/>
      </w:rPr>
      <w:t xml:space="preserve">ournal of </w:t>
    </w:r>
    <w:r w:rsidRPr="00144E15">
      <w:rPr>
        <w:noProof/>
        <w:color w:val="E36C0A" w:themeColor="accent6" w:themeShade="BF"/>
        <w:sz w:val="18"/>
        <w:szCs w:val="18"/>
      </w:rPr>
      <w:t>M</w:t>
    </w:r>
    <w:r w:rsidRPr="00144E15">
      <w:rPr>
        <w:noProof/>
        <w:color w:val="595959" w:themeColor="text1" w:themeTint="A6"/>
        <w:sz w:val="18"/>
        <w:szCs w:val="18"/>
      </w:rPr>
      <w:t xml:space="preserve">edical </w:t>
    </w:r>
    <w:r w:rsidRPr="00144E15">
      <w:rPr>
        <w:noProof/>
        <w:color w:val="E36C0A" w:themeColor="accent6" w:themeShade="BF"/>
        <w:sz w:val="18"/>
        <w:szCs w:val="18"/>
      </w:rPr>
      <w:t>R</w:t>
    </w:r>
    <w:r w:rsidRPr="00144E15">
      <w:rPr>
        <w:noProof/>
        <w:color w:val="595959" w:themeColor="text1" w:themeTint="A6"/>
        <w:sz w:val="18"/>
        <w:szCs w:val="18"/>
      </w:rPr>
      <w:t xml:space="preserve">esearch and </w:t>
    </w:r>
    <w:r w:rsidRPr="00144E15">
      <w:rPr>
        <w:noProof/>
        <w:color w:val="E36C0A" w:themeColor="accent6" w:themeShade="BF"/>
        <w:sz w:val="18"/>
        <w:szCs w:val="18"/>
      </w:rPr>
      <w:t>P</w:t>
    </w:r>
    <w:r w:rsidRPr="00144E15">
      <w:rPr>
        <w:noProof/>
        <w:color w:val="595959" w:themeColor="text1" w:themeTint="A6"/>
        <w:sz w:val="18"/>
        <w:szCs w:val="18"/>
      </w:rPr>
      <w:t xml:space="preserve">harmaceutical </w:t>
    </w:r>
    <w:r w:rsidRPr="00144E15">
      <w:rPr>
        <w:noProof/>
        <w:color w:val="E36C0A" w:themeColor="accent6" w:themeShade="BF"/>
        <w:sz w:val="18"/>
        <w:szCs w:val="18"/>
      </w:rPr>
      <w:t>S</w:t>
    </w:r>
    <w:r w:rsidRPr="00144E15">
      <w:rPr>
        <w:noProof/>
        <w:color w:val="595959" w:themeColor="text1" w:themeTint="A6"/>
        <w:sz w:val="18"/>
        <w:szCs w:val="18"/>
      </w:rPr>
      <w:t xml:space="preserve">ciences            </w:t>
    </w:r>
    <w:r>
      <w:rPr>
        <w:noProof/>
        <w:color w:val="595959" w:themeColor="text1" w:themeTint="A6"/>
        <w:sz w:val="18"/>
        <w:szCs w:val="18"/>
      </w:rPr>
      <w:tab/>
    </w:r>
    <w:hyperlink r:id="rId1" w:history="1">
      <w:r w:rsidRPr="00B80220">
        <w:rPr>
          <w:rStyle w:val="Hyperlink"/>
          <w:noProof/>
          <w:sz w:val="18"/>
          <w:szCs w:val="18"/>
        </w:rPr>
        <w:t>http://www.ijmprs.com/</w:t>
      </w:r>
    </w:hyperlink>
  </w:p>
  <w:p w:rsidR="00DB7C7B" w:rsidRPr="00DB7C7B" w:rsidRDefault="00DB7C7B" w:rsidP="00DB7C7B">
    <w:pPr>
      <w:pStyle w:val="Footer"/>
      <w:jc w:val="right"/>
      <w:rPr>
        <w:color w:val="F79646" w:themeColor="accent6"/>
      </w:rPr>
    </w:pPr>
    <w:r w:rsidRPr="00DB7C7B">
      <w:rPr>
        <w:color w:val="F79646" w:themeColor="accent6"/>
      </w:rPr>
      <w:t xml:space="preserve"> [</w:t>
    </w:r>
    <w:sdt>
      <w:sdtPr>
        <w:rPr>
          <w:color w:val="F79646" w:themeColor="accent6"/>
        </w:rPr>
        <w:id w:val="-236321721"/>
        <w:docPartObj>
          <w:docPartGallery w:val="Page Numbers (Bottom of Page)"/>
          <w:docPartUnique/>
        </w:docPartObj>
      </w:sdtPr>
      <w:sdtEndPr>
        <w:rPr>
          <w:noProof/>
        </w:rPr>
      </w:sdtEndPr>
      <w:sdtContent>
        <w:r w:rsidR="00610BBD" w:rsidRPr="00DB7C7B">
          <w:rPr>
            <w:color w:val="F79646" w:themeColor="accent6"/>
          </w:rPr>
          <w:fldChar w:fldCharType="begin"/>
        </w:r>
        <w:r w:rsidRPr="00DB7C7B">
          <w:rPr>
            <w:color w:val="F79646" w:themeColor="accent6"/>
          </w:rPr>
          <w:instrText xml:space="preserve"> PAGE   \* MERGEFORMAT </w:instrText>
        </w:r>
        <w:r w:rsidR="00610BBD" w:rsidRPr="00DB7C7B">
          <w:rPr>
            <w:color w:val="F79646" w:themeColor="accent6"/>
          </w:rPr>
          <w:fldChar w:fldCharType="separate"/>
        </w:r>
        <w:r w:rsidR="00F95E2E">
          <w:rPr>
            <w:noProof/>
            <w:color w:val="F79646" w:themeColor="accent6"/>
          </w:rPr>
          <w:t>1</w:t>
        </w:r>
        <w:r w:rsidR="00610BBD" w:rsidRPr="00DB7C7B">
          <w:rPr>
            <w:noProof/>
            <w:color w:val="F79646" w:themeColor="accent6"/>
          </w:rPr>
          <w:fldChar w:fldCharType="end"/>
        </w:r>
        <w:r w:rsidRPr="00DB7C7B">
          <w:rPr>
            <w:noProof/>
            <w:color w:val="F79646" w:themeColor="accent6"/>
          </w:rPr>
          <w:t>]</w:t>
        </w:r>
      </w:sdtContent>
    </w:sdt>
  </w:p>
  <w:p w:rsidR="00415C0C" w:rsidRPr="00DB7C7B" w:rsidRDefault="00415C0C" w:rsidP="00DB7C7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A48" w:rsidRDefault="006B1A4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5E2E" w:rsidRDefault="00F95E2E" w:rsidP="00670B7E">
      <w:pPr>
        <w:spacing w:after="0" w:line="240" w:lineRule="auto"/>
      </w:pPr>
      <w:r>
        <w:separator/>
      </w:r>
    </w:p>
  </w:footnote>
  <w:footnote w:type="continuationSeparator" w:id="0">
    <w:p w:rsidR="00F95E2E" w:rsidRDefault="00F95E2E" w:rsidP="00670B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0771" w:rsidRDefault="00F95E2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5733" o:spid="_x0000_s2059" type="#_x0000_t136" style="position:absolute;margin-left:0;margin-top:0;width:532.95pt;height:228.4pt;rotation:315;z-index:-251649024;mso-position-horizontal:center;mso-position-horizontal-relative:margin;mso-position-vertical:center;mso-position-vertical-relative:margin" o:allowincell="f" fillcolor="#e36c0a [2409]" stroked="f">
          <v:fill opacity=".5"/>
          <v:textpath style="font-family:&quot;Calibri&quot;;font-size:1pt" string="IJMRPS"/>
          <w10:wrap anchorx="margin" anchory="margin"/>
        </v:shape>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6" type="#_x0000_t75" style="position:absolute;margin-left:0;margin-top:0;width:467.9pt;height:467.9pt;z-index:-251653120;mso-position-horizontal:center;mso-position-horizontal-relative:margin;mso-position-vertical:center;mso-position-vertical-relative:margin" o:allowincell="f">
          <v:imagedata r:id="rId1" o:title="add_256"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2D3" w:rsidRDefault="003F32D3" w:rsidP="003F32D3">
    <w:pPr>
      <w:pStyle w:val="Header"/>
      <w:rPr>
        <w:noProof/>
        <w:color w:val="E36C0A" w:themeColor="accent6" w:themeShade="BF"/>
        <w:sz w:val="32"/>
        <w:szCs w:val="32"/>
      </w:rPr>
    </w:pPr>
    <w:r w:rsidRPr="003F32D3">
      <w:rPr>
        <w:noProof/>
        <w:color w:val="595959" w:themeColor="text1" w:themeTint="A6"/>
        <w:sz w:val="18"/>
        <w:szCs w:val="18"/>
      </w:rPr>
      <w:t>Open Access Journal</w:t>
    </w:r>
  </w:p>
  <w:p w:rsidR="00C65109" w:rsidRDefault="00B27420" w:rsidP="003F32D3">
    <w:pPr>
      <w:pStyle w:val="Header"/>
      <w:jc w:val="center"/>
      <w:rPr>
        <w:noProof/>
        <w:color w:val="595959" w:themeColor="text1" w:themeTint="A6"/>
        <w:sz w:val="32"/>
        <w:szCs w:val="32"/>
      </w:rPr>
    </w:pPr>
    <w:r w:rsidRPr="00BC5D0F">
      <w:rPr>
        <w:noProof/>
        <w:color w:val="E36C0A" w:themeColor="accent6" w:themeShade="BF"/>
        <w:sz w:val="40"/>
        <w:szCs w:val="40"/>
      </w:rPr>
      <w:t>I</w:t>
    </w:r>
    <w:r w:rsidRPr="003F32D3">
      <w:rPr>
        <w:noProof/>
        <w:color w:val="595959" w:themeColor="text1" w:themeTint="A6"/>
        <w:sz w:val="32"/>
        <w:szCs w:val="32"/>
      </w:rPr>
      <w:t xml:space="preserve">ndian </w:t>
    </w:r>
    <w:r w:rsidRPr="00BC5D0F">
      <w:rPr>
        <w:noProof/>
        <w:color w:val="E36C0A" w:themeColor="accent6" w:themeShade="BF"/>
        <w:sz w:val="40"/>
        <w:szCs w:val="40"/>
      </w:rPr>
      <w:t>J</w:t>
    </w:r>
    <w:r w:rsidRPr="003F32D3">
      <w:rPr>
        <w:noProof/>
        <w:color w:val="595959" w:themeColor="text1" w:themeTint="A6"/>
        <w:sz w:val="32"/>
        <w:szCs w:val="32"/>
      </w:rPr>
      <w:t xml:space="preserve">ournal of </w:t>
    </w:r>
    <w:r w:rsidRPr="00BC5D0F">
      <w:rPr>
        <w:noProof/>
        <w:color w:val="E36C0A" w:themeColor="accent6" w:themeShade="BF"/>
        <w:sz w:val="40"/>
        <w:szCs w:val="40"/>
      </w:rPr>
      <w:t>M</w:t>
    </w:r>
    <w:r w:rsidRPr="003F32D3">
      <w:rPr>
        <w:noProof/>
        <w:color w:val="595959" w:themeColor="text1" w:themeTint="A6"/>
        <w:sz w:val="32"/>
        <w:szCs w:val="32"/>
      </w:rPr>
      <w:t xml:space="preserve">edical </w:t>
    </w:r>
    <w:r w:rsidRPr="00BC5D0F">
      <w:rPr>
        <w:noProof/>
        <w:color w:val="E36C0A" w:themeColor="accent6" w:themeShade="BF"/>
        <w:sz w:val="40"/>
        <w:szCs w:val="40"/>
      </w:rPr>
      <w:t>R</w:t>
    </w:r>
    <w:r w:rsidRPr="003F32D3">
      <w:rPr>
        <w:noProof/>
        <w:color w:val="595959" w:themeColor="text1" w:themeTint="A6"/>
        <w:sz w:val="32"/>
        <w:szCs w:val="32"/>
      </w:rPr>
      <w:t xml:space="preserve">esearch and </w:t>
    </w:r>
    <w:r w:rsidRPr="00BC5D0F">
      <w:rPr>
        <w:noProof/>
        <w:color w:val="E36C0A" w:themeColor="accent6" w:themeShade="BF"/>
        <w:sz w:val="40"/>
        <w:szCs w:val="40"/>
      </w:rPr>
      <w:t>P</w:t>
    </w:r>
    <w:r w:rsidRPr="003F32D3">
      <w:rPr>
        <w:noProof/>
        <w:color w:val="595959" w:themeColor="text1" w:themeTint="A6"/>
        <w:sz w:val="32"/>
        <w:szCs w:val="32"/>
      </w:rPr>
      <w:t xml:space="preserve">harmaceutical </w:t>
    </w:r>
    <w:r w:rsidRPr="00BC5D0F">
      <w:rPr>
        <w:noProof/>
        <w:color w:val="E36C0A" w:themeColor="accent6" w:themeShade="BF"/>
        <w:sz w:val="40"/>
        <w:szCs w:val="40"/>
      </w:rPr>
      <w:t>S</w:t>
    </w:r>
    <w:r w:rsidRPr="003F32D3">
      <w:rPr>
        <w:noProof/>
        <w:color w:val="595959" w:themeColor="text1" w:themeTint="A6"/>
        <w:sz w:val="32"/>
        <w:szCs w:val="32"/>
      </w:rPr>
      <w:t>ciences</w:t>
    </w:r>
  </w:p>
  <w:p w:rsidR="003F32D3" w:rsidRDefault="006525EC" w:rsidP="003F32D3">
    <w:pPr>
      <w:pStyle w:val="Header"/>
      <w:pBdr>
        <w:bottom w:val="dotDash" w:sz="12" w:space="1" w:color="F79646" w:themeColor="accent6"/>
      </w:pBdr>
      <w:rPr>
        <w:noProof/>
        <w:color w:val="595959" w:themeColor="text1" w:themeTint="A6"/>
        <w:sz w:val="24"/>
        <w:szCs w:val="24"/>
      </w:rPr>
    </w:pPr>
    <w:r>
      <w:rPr>
        <w:noProof/>
        <w:color w:val="595959" w:themeColor="text1" w:themeTint="A6"/>
        <w:sz w:val="24"/>
        <w:szCs w:val="24"/>
      </w:rPr>
      <w:t>November 2016;3(11</w:t>
    </w:r>
    <w:r w:rsidR="0074691A" w:rsidRPr="00557C6B">
      <w:rPr>
        <w:noProof/>
        <w:color w:val="595959" w:themeColor="text1" w:themeTint="A6"/>
        <w:sz w:val="24"/>
        <w:szCs w:val="24"/>
      </w:rPr>
      <w:t>)</w:t>
    </w:r>
    <w:r w:rsidR="003F32D3" w:rsidRPr="00BC5D0F">
      <w:rPr>
        <w:noProof/>
        <w:color w:val="595959" w:themeColor="text1" w:themeTint="A6"/>
        <w:sz w:val="24"/>
        <w:szCs w:val="24"/>
      </w:rPr>
      <w:tab/>
    </w:r>
    <w:r w:rsidR="003F32D3" w:rsidRPr="00BC5D0F">
      <w:rPr>
        <w:noProof/>
        <w:color w:val="595959" w:themeColor="text1" w:themeTint="A6"/>
        <w:sz w:val="24"/>
        <w:szCs w:val="24"/>
      </w:rPr>
      <w:tab/>
      <w:t xml:space="preserve">ISSN: </w:t>
    </w:r>
    <w:r w:rsidR="00261780" w:rsidRPr="00261780">
      <w:rPr>
        <w:noProof/>
        <w:color w:val="595959" w:themeColor="text1" w:themeTint="A6"/>
        <w:sz w:val="24"/>
        <w:szCs w:val="24"/>
      </w:rPr>
      <w:t>ISSN: 2349-5340</w:t>
    </w:r>
  </w:p>
  <w:p w:rsidR="005E1A36" w:rsidRPr="00BC5D0F" w:rsidRDefault="006B1A48" w:rsidP="006B1A48">
    <w:pPr>
      <w:pStyle w:val="Header"/>
      <w:pBdr>
        <w:bottom w:val="dotDash" w:sz="12" w:space="1" w:color="F79646" w:themeColor="accent6"/>
      </w:pBdr>
      <w:rPr>
        <w:noProof/>
        <w:color w:val="595959" w:themeColor="text1" w:themeTint="A6"/>
        <w:sz w:val="24"/>
        <w:szCs w:val="24"/>
      </w:rPr>
    </w:pPr>
    <w:r>
      <w:rPr>
        <w:noProof/>
        <w:color w:val="595959" w:themeColor="text1" w:themeTint="A6"/>
        <w:sz w:val="24"/>
        <w:szCs w:val="24"/>
      </w:rPr>
      <w:t xml:space="preserve">DOI: </w:t>
    </w:r>
    <w:r w:rsidRPr="006B1A48">
      <w:rPr>
        <w:noProof/>
        <w:color w:val="595959" w:themeColor="text1" w:themeTint="A6"/>
        <w:sz w:val="24"/>
        <w:szCs w:val="24"/>
      </w:rPr>
      <w:t>10.5281/zenodo.165202</w:t>
    </w:r>
    <w:r>
      <w:rPr>
        <w:noProof/>
        <w:color w:val="595959" w:themeColor="text1" w:themeTint="A6"/>
        <w:sz w:val="24"/>
        <w:szCs w:val="24"/>
      </w:rPr>
      <w:tab/>
    </w:r>
    <w:r>
      <w:rPr>
        <w:noProof/>
        <w:color w:val="595959" w:themeColor="text1" w:themeTint="A6"/>
        <w:sz w:val="24"/>
        <w:szCs w:val="24"/>
      </w:rPr>
      <w:tab/>
    </w:r>
    <w:bookmarkStart w:id="0" w:name="_GoBack"/>
    <w:bookmarkEnd w:id="0"/>
    <w:r w:rsidR="0084502B">
      <w:rPr>
        <w:noProof/>
        <w:color w:val="595959" w:themeColor="text1" w:themeTint="A6"/>
        <w:sz w:val="24"/>
        <w:szCs w:val="24"/>
      </w:rPr>
      <w:t>Impact Factor</w:t>
    </w:r>
    <w:r w:rsidR="00564E5B" w:rsidRPr="00564E5B">
      <w:rPr>
        <w:noProof/>
        <w:color w:val="595959" w:themeColor="text1" w:themeTint="A6"/>
        <w:sz w:val="24"/>
        <w:szCs w:val="24"/>
      </w:rPr>
      <w:t xml:space="preserve">: </w:t>
    </w:r>
    <w:r w:rsidR="00670133" w:rsidRPr="00670133">
      <w:rPr>
        <w:noProof/>
        <w:color w:val="595959" w:themeColor="text1" w:themeTint="A6"/>
        <w:sz w:val="24"/>
        <w:szCs w:val="24"/>
      </w:rPr>
      <w:t>3.052</w:t>
    </w:r>
  </w:p>
  <w:p w:rsidR="003F32D3" w:rsidRPr="003F32D3" w:rsidRDefault="003F32D3" w:rsidP="003F32D3">
    <w:pPr>
      <w:pStyle w:val="Header"/>
      <w:rPr>
        <w:rFonts w:ascii="Times New Roman" w:hAnsi="Times New Roman" w:cs="Times New Roman"/>
        <w:noProof/>
        <w:color w:val="595959" w:themeColor="text1" w:themeTint="A6"/>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0771" w:rsidRDefault="00F95E2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5732" o:spid="_x0000_s2058" type="#_x0000_t136" style="position:absolute;margin-left:0;margin-top:0;width:532.95pt;height:228.4pt;rotation:315;z-index:-251651072;mso-position-horizontal:center;mso-position-horizontal-relative:margin;mso-position-vertical:center;mso-position-vertical-relative:margin" o:allowincell="f" fillcolor="#e36c0a [2409]" stroked="f">
          <v:fill opacity=".5"/>
          <v:textpath style="font-family:&quot;Calibri&quot;;font-size:1pt" string="IJMRPS"/>
          <w10:wrap anchorx="margin" anchory="margin"/>
        </v:shape>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margin-left:0;margin-top:0;width:467.9pt;height:467.9pt;z-index:-251654144;mso-position-horizontal:center;mso-position-horizontal-relative:margin;mso-position-vertical:center;mso-position-vertical-relative:margin" o:allowincell="f">
          <v:imagedata r:id="rId1" o:title="add_256"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281F21"/>
    <w:multiLevelType w:val="hybridMultilevel"/>
    <w:tmpl w:val="D6562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0C7A7E"/>
    <w:multiLevelType w:val="hybridMultilevel"/>
    <w:tmpl w:val="FF9E119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51A26A1B"/>
    <w:multiLevelType w:val="hybridMultilevel"/>
    <w:tmpl w:val="D228FC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AC91F06"/>
    <w:multiLevelType w:val="hybridMultilevel"/>
    <w:tmpl w:val="A4AC01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6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F4DD8"/>
    <w:rsid w:val="00001E27"/>
    <w:rsid w:val="000028A1"/>
    <w:rsid w:val="0000293E"/>
    <w:rsid w:val="00002ED7"/>
    <w:rsid w:val="0000313B"/>
    <w:rsid w:val="00003838"/>
    <w:rsid w:val="00004372"/>
    <w:rsid w:val="00005396"/>
    <w:rsid w:val="00005523"/>
    <w:rsid w:val="0000614B"/>
    <w:rsid w:val="00006E19"/>
    <w:rsid w:val="00006E5C"/>
    <w:rsid w:val="000104BF"/>
    <w:rsid w:val="00010D8F"/>
    <w:rsid w:val="0001103C"/>
    <w:rsid w:val="0001164E"/>
    <w:rsid w:val="0001168C"/>
    <w:rsid w:val="00011C72"/>
    <w:rsid w:val="000124F3"/>
    <w:rsid w:val="00012AD3"/>
    <w:rsid w:val="00016235"/>
    <w:rsid w:val="00017077"/>
    <w:rsid w:val="000179D7"/>
    <w:rsid w:val="00020888"/>
    <w:rsid w:val="00023A4D"/>
    <w:rsid w:val="00025028"/>
    <w:rsid w:val="0002534D"/>
    <w:rsid w:val="000261C8"/>
    <w:rsid w:val="00026628"/>
    <w:rsid w:val="00026759"/>
    <w:rsid w:val="00027623"/>
    <w:rsid w:val="00031A4A"/>
    <w:rsid w:val="00032642"/>
    <w:rsid w:val="00034F17"/>
    <w:rsid w:val="000353D2"/>
    <w:rsid w:val="00035762"/>
    <w:rsid w:val="00035A32"/>
    <w:rsid w:val="00036217"/>
    <w:rsid w:val="0003685C"/>
    <w:rsid w:val="000409B4"/>
    <w:rsid w:val="00040CCE"/>
    <w:rsid w:val="000415F6"/>
    <w:rsid w:val="00041C67"/>
    <w:rsid w:val="0004367D"/>
    <w:rsid w:val="00043A5C"/>
    <w:rsid w:val="00045762"/>
    <w:rsid w:val="00045D3D"/>
    <w:rsid w:val="0004665F"/>
    <w:rsid w:val="00050192"/>
    <w:rsid w:val="00050B53"/>
    <w:rsid w:val="000520D7"/>
    <w:rsid w:val="00052821"/>
    <w:rsid w:val="000533E9"/>
    <w:rsid w:val="0005395C"/>
    <w:rsid w:val="00054A51"/>
    <w:rsid w:val="00054ED1"/>
    <w:rsid w:val="00055321"/>
    <w:rsid w:val="00055D4C"/>
    <w:rsid w:val="000571B1"/>
    <w:rsid w:val="0005727D"/>
    <w:rsid w:val="000574C6"/>
    <w:rsid w:val="00061449"/>
    <w:rsid w:val="0006248A"/>
    <w:rsid w:val="00063054"/>
    <w:rsid w:val="000632B5"/>
    <w:rsid w:val="000640A0"/>
    <w:rsid w:val="00065274"/>
    <w:rsid w:val="0006528D"/>
    <w:rsid w:val="00067457"/>
    <w:rsid w:val="000675DA"/>
    <w:rsid w:val="0007182D"/>
    <w:rsid w:val="00072EE2"/>
    <w:rsid w:val="00074030"/>
    <w:rsid w:val="00074ABA"/>
    <w:rsid w:val="00074EA1"/>
    <w:rsid w:val="00076631"/>
    <w:rsid w:val="000768E3"/>
    <w:rsid w:val="0007706C"/>
    <w:rsid w:val="000805A8"/>
    <w:rsid w:val="00082220"/>
    <w:rsid w:val="000825FA"/>
    <w:rsid w:val="00082A0D"/>
    <w:rsid w:val="0008515B"/>
    <w:rsid w:val="00085ABC"/>
    <w:rsid w:val="00087B20"/>
    <w:rsid w:val="000914E6"/>
    <w:rsid w:val="000941D7"/>
    <w:rsid w:val="0009602E"/>
    <w:rsid w:val="00096F41"/>
    <w:rsid w:val="00097F37"/>
    <w:rsid w:val="000A012D"/>
    <w:rsid w:val="000A4109"/>
    <w:rsid w:val="000A4502"/>
    <w:rsid w:val="000A541F"/>
    <w:rsid w:val="000A56DE"/>
    <w:rsid w:val="000A7363"/>
    <w:rsid w:val="000B096A"/>
    <w:rsid w:val="000B11C2"/>
    <w:rsid w:val="000B15DA"/>
    <w:rsid w:val="000B20F7"/>
    <w:rsid w:val="000B2E4B"/>
    <w:rsid w:val="000B36E4"/>
    <w:rsid w:val="000B3848"/>
    <w:rsid w:val="000B3B00"/>
    <w:rsid w:val="000B4C92"/>
    <w:rsid w:val="000B6383"/>
    <w:rsid w:val="000B64E3"/>
    <w:rsid w:val="000B6580"/>
    <w:rsid w:val="000B7AB1"/>
    <w:rsid w:val="000C06BD"/>
    <w:rsid w:val="000C118E"/>
    <w:rsid w:val="000C1E21"/>
    <w:rsid w:val="000D0B4C"/>
    <w:rsid w:val="000D181E"/>
    <w:rsid w:val="000D254D"/>
    <w:rsid w:val="000D3608"/>
    <w:rsid w:val="000D4227"/>
    <w:rsid w:val="000D4CE7"/>
    <w:rsid w:val="000D4E95"/>
    <w:rsid w:val="000D6CDE"/>
    <w:rsid w:val="000E0181"/>
    <w:rsid w:val="000E11AF"/>
    <w:rsid w:val="000E16BE"/>
    <w:rsid w:val="000E2FD3"/>
    <w:rsid w:val="000E3610"/>
    <w:rsid w:val="000E4982"/>
    <w:rsid w:val="000E4AB9"/>
    <w:rsid w:val="000E4C8B"/>
    <w:rsid w:val="000E6490"/>
    <w:rsid w:val="000E70EE"/>
    <w:rsid w:val="000E744A"/>
    <w:rsid w:val="000F23C9"/>
    <w:rsid w:val="000F3DBB"/>
    <w:rsid w:val="000F48CE"/>
    <w:rsid w:val="000F54A9"/>
    <w:rsid w:val="000F6DF4"/>
    <w:rsid w:val="000F7583"/>
    <w:rsid w:val="000F7F5B"/>
    <w:rsid w:val="00100098"/>
    <w:rsid w:val="001003DE"/>
    <w:rsid w:val="00103679"/>
    <w:rsid w:val="001047D6"/>
    <w:rsid w:val="00104AD3"/>
    <w:rsid w:val="00104FCA"/>
    <w:rsid w:val="00105A7E"/>
    <w:rsid w:val="00106901"/>
    <w:rsid w:val="00106B1A"/>
    <w:rsid w:val="00111C40"/>
    <w:rsid w:val="0011216D"/>
    <w:rsid w:val="00113086"/>
    <w:rsid w:val="00113F44"/>
    <w:rsid w:val="00115460"/>
    <w:rsid w:val="0011563F"/>
    <w:rsid w:val="00116122"/>
    <w:rsid w:val="0011726B"/>
    <w:rsid w:val="00120217"/>
    <w:rsid w:val="00122AA6"/>
    <w:rsid w:val="00127C67"/>
    <w:rsid w:val="00127DE1"/>
    <w:rsid w:val="00130466"/>
    <w:rsid w:val="00132221"/>
    <w:rsid w:val="00133F84"/>
    <w:rsid w:val="0013623D"/>
    <w:rsid w:val="001367E6"/>
    <w:rsid w:val="00136E3F"/>
    <w:rsid w:val="00137E7F"/>
    <w:rsid w:val="00140D1D"/>
    <w:rsid w:val="0014303C"/>
    <w:rsid w:val="00143C81"/>
    <w:rsid w:val="00144810"/>
    <w:rsid w:val="0014498D"/>
    <w:rsid w:val="00144CC8"/>
    <w:rsid w:val="0014536F"/>
    <w:rsid w:val="00146BB6"/>
    <w:rsid w:val="00146F19"/>
    <w:rsid w:val="001474F4"/>
    <w:rsid w:val="001476BF"/>
    <w:rsid w:val="00147FBD"/>
    <w:rsid w:val="00150561"/>
    <w:rsid w:val="001508FD"/>
    <w:rsid w:val="00150F9E"/>
    <w:rsid w:val="00153E43"/>
    <w:rsid w:val="00155649"/>
    <w:rsid w:val="0015568C"/>
    <w:rsid w:val="00155D6D"/>
    <w:rsid w:val="00156ACD"/>
    <w:rsid w:val="001631E8"/>
    <w:rsid w:val="0016531B"/>
    <w:rsid w:val="001653D4"/>
    <w:rsid w:val="00166254"/>
    <w:rsid w:val="00166BE1"/>
    <w:rsid w:val="001673BF"/>
    <w:rsid w:val="001678CB"/>
    <w:rsid w:val="0016793F"/>
    <w:rsid w:val="00167B59"/>
    <w:rsid w:val="00170F46"/>
    <w:rsid w:val="001711B4"/>
    <w:rsid w:val="00171858"/>
    <w:rsid w:val="00171E90"/>
    <w:rsid w:val="001721BE"/>
    <w:rsid w:val="001727D2"/>
    <w:rsid w:val="0017752D"/>
    <w:rsid w:val="00180CFE"/>
    <w:rsid w:val="00181FC3"/>
    <w:rsid w:val="00181FEC"/>
    <w:rsid w:val="0018308F"/>
    <w:rsid w:val="00183556"/>
    <w:rsid w:val="00183FEA"/>
    <w:rsid w:val="001876BA"/>
    <w:rsid w:val="001900E8"/>
    <w:rsid w:val="00190CB5"/>
    <w:rsid w:val="00192413"/>
    <w:rsid w:val="001947D7"/>
    <w:rsid w:val="00194953"/>
    <w:rsid w:val="0019663D"/>
    <w:rsid w:val="001A40C0"/>
    <w:rsid w:val="001A4635"/>
    <w:rsid w:val="001A46DE"/>
    <w:rsid w:val="001A4955"/>
    <w:rsid w:val="001A4A0E"/>
    <w:rsid w:val="001A6DE1"/>
    <w:rsid w:val="001A70E0"/>
    <w:rsid w:val="001A78BD"/>
    <w:rsid w:val="001A79FA"/>
    <w:rsid w:val="001A7F1E"/>
    <w:rsid w:val="001B0378"/>
    <w:rsid w:val="001B093E"/>
    <w:rsid w:val="001B1454"/>
    <w:rsid w:val="001B2ED6"/>
    <w:rsid w:val="001B4BD4"/>
    <w:rsid w:val="001B5656"/>
    <w:rsid w:val="001B6BDF"/>
    <w:rsid w:val="001B7B2B"/>
    <w:rsid w:val="001B7FD2"/>
    <w:rsid w:val="001C00CE"/>
    <w:rsid w:val="001C1DD6"/>
    <w:rsid w:val="001C3B61"/>
    <w:rsid w:val="001C5542"/>
    <w:rsid w:val="001C56D7"/>
    <w:rsid w:val="001C5974"/>
    <w:rsid w:val="001C60DF"/>
    <w:rsid w:val="001C61A0"/>
    <w:rsid w:val="001D0552"/>
    <w:rsid w:val="001D47A4"/>
    <w:rsid w:val="001D4904"/>
    <w:rsid w:val="001D76C2"/>
    <w:rsid w:val="001D7FE9"/>
    <w:rsid w:val="001E075C"/>
    <w:rsid w:val="001E1A91"/>
    <w:rsid w:val="001E2D3F"/>
    <w:rsid w:val="001E2E4E"/>
    <w:rsid w:val="001E413F"/>
    <w:rsid w:val="001E5132"/>
    <w:rsid w:val="001F077F"/>
    <w:rsid w:val="001F4847"/>
    <w:rsid w:val="001F5632"/>
    <w:rsid w:val="001F770F"/>
    <w:rsid w:val="00200C06"/>
    <w:rsid w:val="00201813"/>
    <w:rsid w:val="0020458A"/>
    <w:rsid w:val="00204F1D"/>
    <w:rsid w:val="002056D2"/>
    <w:rsid w:val="00206083"/>
    <w:rsid w:val="002063AE"/>
    <w:rsid w:val="00207385"/>
    <w:rsid w:val="00207D3D"/>
    <w:rsid w:val="0021068A"/>
    <w:rsid w:val="0021224F"/>
    <w:rsid w:val="00213C58"/>
    <w:rsid w:val="0021480F"/>
    <w:rsid w:val="0021488B"/>
    <w:rsid w:val="00214F3C"/>
    <w:rsid w:val="00214F45"/>
    <w:rsid w:val="00216CC4"/>
    <w:rsid w:val="00221514"/>
    <w:rsid w:val="00221FF7"/>
    <w:rsid w:val="00223106"/>
    <w:rsid w:val="002243C1"/>
    <w:rsid w:val="0022508A"/>
    <w:rsid w:val="00225620"/>
    <w:rsid w:val="0022605E"/>
    <w:rsid w:val="00226D76"/>
    <w:rsid w:val="00227360"/>
    <w:rsid w:val="0023065E"/>
    <w:rsid w:val="00232576"/>
    <w:rsid w:val="00233ED2"/>
    <w:rsid w:val="00234CE3"/>
    <w:rsid w:val="00234EC5"/>
    <w:rsid w:val="002352B6"/>
    <w:rsid w:val="002355F7"/>
    <w:rsid w:val="002378E1"/>
    <w:rsid w:val="00241202"/>
    <w:rsid w:val="00246108"/>
    <w:rsid w:val="00253329"/>
    <w:rsid w:val="00253F9C"/>
    <w:rsid w:val="002543AF"/>
    <w:rsid w:val="002615FC"/>
    <w:rsid w:val="00261780"/>
    <w:rsid w:val="002629D6"/>
    <w:rsid w:val="00263F1F"/>
    <w:rsid w:val="002648B1"/>
    <w:rsid w:val="00264E6E"/>
    <w:rsid w:val="00265546"/>
    <w:rsid w:val="00267665"/>
    <w:rsid w:val="002678D6"/>
    <w:rsid w:val="002704C8"/>
    <w:rsid w:val="00272F86"/>
    <w:rsid w:val="00273027"/>
    <w:rsid w:val="00275738"/>
    <w:rsid w:val="00276AF0"/>
    <w:rsid w:val="00276D02"/>
    <w:rsid w:val="0027713B"/>
    <w:rsid w:val="00277B7B"/>
    <w:rsid w:val="00280651"/>
    <w:rsid w:val="00280FA9"/>
    <w:rsid w:val="0028264D"/>
    <w:rsid w:val="00282FD0"/>
    <w:rsid w:val="00284E9D"/>
    <w:rsid w:val="00285FA9"/>
    <w:rsid w:val="0028677F"/>
    <w:rsid w:val="002872AC"/>
    <w:rsid w:val="00287D65"/>
    <w:rsid w:val="00287EE0"/>
    <w:rsid w:val="00290947"/>
    <w:rsid w:val="00290D1D"/>
    <w:rsid w:val="00291D59"/>
    <w:rsid w:val="00293850"/>
    <w:rsid w:val="00294255"/>
    <w:rsid w:val="00295A53"/>
    <w:rsid w:val="00295CD3"/>
    <w:rsid w:val="00297059"/>
    <w:rsid w:val="00297166"/>
    <w:rsid w:val="00297873"/>
    <w:rsid w:val="0029799A"/>
    <w:rsid w:val="002A0FFA"/>
    <w:rsid w:val="002A1272"/>
    <w:rsid w:val="002A1E98"/>
    <w:rsid w:val="002A2DFE"/>
    <w:rsid w:val="002A37F1"/>
    <w:rsid w:val="002A3C43"/>
    <w:rsid w:val="002A48D6"/>
    <w:rsid w:val="002A4E0B"/>
    <w:rsid w:val="002A5EAE"/>
    <w:rsid w:val="002B0672"/>
    <w:rsid w:val="002B2795"/>
    <w:rsid w:val="002B3F08"/>
    <w:rsid w:val="002B4A78"/>
    <w:rsid w:val="002B6997"/>
    <w:rsid w:val="002B778E"/>
    <w:rsid w:val="002B7E28"/>
    <w:rsid w:val="002C04D7"/>
    <w:rsid w:val="002C15B2"/>
    <w:rsid w:val="002C4948"/>
    <w:rsid w:val="002C5571"/>
    <w:rsid w:val="002C5576"/>
    <w:rsid w:val="002C6FCA"/>
    <w:rsid w:val="002D031D"/>
    <w:rsid w:val="002D03A6"/>
    <w:rsid w:val="002D12B5"/>
    <w:rsid w:val="002D1620"/>
    <w:rsid w:val="002D1D31"/>
    <w:rsid w:val="002D23D2"/>
    <w:rsid w:val="002D23F6"/>
    <w:rsid w:val="002D5353"/>
    <w:rsid w:val="002D7DE9"/>
    <w:rsid w:val="002D7F7A"/>
    <w:rsid w:val="002E0168"/>
    <w:rsid w:val="002E1112"/>
    <w:rsid w:val="002E199C"/>
    <w:rsid w:val="002E308B"/>
    <w:rsid w:val="002E31B8"/>
    <w:rsid w:val="002E345F"/>
    <w:rsid w:val="002E3766"/>
    <w:rsid w:val="002E48EF"/>
    <w:rsid w:val="002E5458"/>
    <w:rsid w:val="002E5E14"/>
    <w:rsid w:val="002F01EB"/>
    <w:rsid w:val="002F32A2"/>
    <w:rsid w:val="002F587E"/>
    <w:rsid w:val="002F6F2B"/>
    <w:rsid w:val="002F7215"/>
    <w:rsid w:val="002F7EB1"/>
    <w:rsid w:val="00300851"/>
    <w:rsid w:val="00300EF0"/>
    <w:rsid w:val="0030253D"/>
    <w:rsid w:val="00302CD2"/>
    <w:rsid w:val="003032E7"/>
    <w:rsid w:val="00303BB7"/>
    <w:rsid w:val="00304034"/>
    <w:rsid w:val="00304B40"/>
    <w:rsid w:val="00304E23"/>
    <w:rsid w:val="00304FD9"/>
    <w:rsid w:val="00306FDC"/>
    <w:rsid w:val="00307786"/>
    <w:rsid w:val="00307970"/>
    <w:rsid w:val="00312179"/>
    <w:rsid w:val="00312CB6"/>
    <w:rsid w:val="003131AA"/>
    <w:rsid w:val="00314803"/>
    <w:rsid w:val="00317ABC"/>
    <w:rsid w:val="00317B9B"/>
    <w:rsid w:val="00320702"/>
    <w:rsid w:val="0032270E"/>
    <w:rsid w:val="00323B83"/>
    <w:rsid w:val="00324B4B"/>
    <w:rsid w:val="00324EDF"/>
    <w:rsid w:val="003256B2"/>
    <w:rsid w:val="0032696B"/>
    <w:rsid w:val="003278ED"/>
    <w:rsid w:val="00327E03"/>
    <w:rsid w:val="003306F5"/>
    <w:rsid w:val="00330C06"/>
    <w:rsid w:val="003317C2"/>
    <w:rsid w:val="00333009"/>
    <w:rsid w:val="003331B8"/>
    <w:rsid w:val="003335AB"/>
    <w:rsid w:val="0033447B"/>
    <w:rsid w:val="003344D2"/>
    <w:rsid w:val="00334705"/>
    <w:rsid w:val="00335D95"/>
    <w:rsid w:val="00336EAD"/>
    <w:rsid w:val="0034026F"/>
    <w:rsid w:val="0034100A"/>
    <w:rsid w:val="003428A0"/>
    <w:rsid w:val="0034293B"/>
    <w:rsid w:val="00344BFF"/>
    <w:rsid w:val="00345279"/>
    <w:rsid w:val="00350CBA"/>
    <w:rsid w:val="00351A6E"/>
    <w:rsid w:val="003521C7"/>
    <w:rsid w:val="00355315"/>
    <w:rsid w:val="00355E63"/>
    <w:rsid w:val="00356EFF"/>
    <w:rsid w:val="0035761A"/>
    <w:rsid w:val="003609A4"/>
    <w:rsid w:val="0036138E"/>
    <w:rsid w:val="0036139E"/>
    <w:rsid w:val="003614AD"/>
    <w:rsid w:val="00363CE9"/>
    <w:rsid w:val="0036455B"/>
    <w:rsid w:val="00364736"/>
    <w:rsid w:val="00366A2C"/>
    <w:rsid w:val="00366B4D"/>
    <w:rsid w:val="00367625"/>
    <w:rsid w:val="00367930"/>
    <w:rsid w:val="00367DD9"/>
    <w:rsid w:val="0037039E"/>
    <w:rsid w:val="00370BC4"/>
    <w:rsid w:val="00371A5A"/>
    <w:rsid w:val="003732EE"/>
    <w:rsid w:val="003820A2"/>
    <w:rsid w:val="003828B9"/>
    <w:rsid w:val="003830A7"/>
    <w:rsid w:val="00384464"/>
    <w:rsid w:val="00384EB6"/>
    <w:rsid w:val="00385747"/>
    <w:rsid w:val="00386E01"/>
    <w:rsid w:val="00386F41"/>
    <w:rsid w:val="00390741"/>
    <w:rsid w:val="00395A67"/>
    <w:rsid w:val="0039705F"/>
    <w:rsid w:val="00397B13"/>
    <w:rsid w:val="00397BBA"/>
    <w:rsid w:val="003A184F"/>
    <w:rsid w:val="003A3164"/>
    <w:rsid w:val="003A471F"/>
    <w:rsid w:val="003A4F90"/>
    <w:rsid w:val="003A5A89"/>
    <w:rsid w:val="003A5BA6"/>
    <w:rsid w:val="003A73B4"/>
    <w:rsid w:val="003B0882"/>
    <w:rsid w:val="003B0BB8"/>
    <w:rsid w:val="003B0D33"/>
    <w:rsid w:val="003B1217"/>
    <w:rsid w:val="003B13A6"/>
    <w:rsid w:val="003B182C"/>
    <w:rsid w:val="003B1A80"/>
    <w:rsid w:val="003B1E1D"/>
    <w:rsid w:val="003B3751"/>
    <w:rsid w:val="003B403B"/>
    <w:rsid w:val="003B5567"/>
    <w:rsid w:val="003B5BB1"/>
    <w:rsid w:val="003C0A4B"/>
    <w:rsid w:val="003C2843"/>
    <w:rsid w:val="003C28C9"/>
    <w:rsid w:val="003C2A57"/>
    <w:rsid w:val="003C319D"/>
    <w:rsid w:val="003C353A"/>
    <w:rsid w:val="003C46C0"/>
    <w:rsid w:val="003C6D70"/>
    <w:rsid w:val="003C7462"/>
    <w:rsid w:val="003D07D7"/>
    <w:rsid w:val="003D363E"/>
    <w:rsid w:val="003D3CCD"/>
    <w:rsid w:val="003D4D3C"/>
    <w:rsid w:val="003D4ED7"/>
    <w:rsid w:val="003D648A"/>
    <w:rsid w:val="003D7475"/>
    <w:rsid w:val="003D7932"/>
    <w:rsid w:val="003E1115"/>
    <w:rsid w:val="003E16DC"/>
    <w:rsid w:val="003E1850"/>
    <w:rsid w:val="003E1FE8"/>
    <w:rsid w:val="003E405C"/>
    <w:rsid w:val="003E4576"/>
    <w:rsid w:val="003E60F6"/>
    <w:rsid w:val="003E7F73"/>
    <w:rsid w:val="003F16DC"/>
    <w:rsid w:val="003F2C7E"/>
    <w:rsid w:val="003F3140"/>
    <w:rsid w:val="003F32D3"/>
    <w:rsid w:val="003F3AC1"/>
    <w:rsid w:val="003F3BDA"/>
    <w:rsid w:val="003F4DD8"/>
    <w:rsid w:val="003F5BE2"/>
    <w:rsid w:val="003F7D9E"/>
    <w:rsid w:val="00401D1E"/>
    <w:rsid w:val="00401E7E"/>
    <w:rsid w:val="0040394D"/>
    <w:rsid w:val="0040434E"/>
    <w:rsid w:val="00404773"/>
    <w:rsid w:val="004048C4"/>
    <w:rsid w:val="0040499B"/>
    <w:rsid w:val="00405DDC"/>
    <w:rsid w:val="00406A95"/>
    <w:rsid w:val="004116E1"/>
    <w:rsid w:val="00412C0F"/>
    <w:rsid w:val="00412DA7"/>
    <w:rsid w:val="00413252"/>
    <w:rsid w:val="00414077"/>
    <w:rsid w:val="004158B6"/>
    <w:rsid w:val="00415C0C"/>
    <w:rsid w:val="00420558"/>
    <w:rsid w:val="00420BC3"/>
    <w:rsid w:val="00420D18"/>
    <w:rsid w:val="00420F3A"/>
    <w:rsid w:val="0042142C"/>
    <w:rsid w:val="004219D8"/>
    <w:rsid w:val="004220DD"/>
    <w:rsid w:val="00425B52"/>
    <w:rsid w:val="00427648"/>
    <w:rsid w:val="00431D16"/>
    <w:rsid w:val="0043384D"/>
    <w:rsid w:val="00434B36"/>
    <w:rsid w:val="004351F7"/>
    <w:rsid w:val="00435D2E"/>
    <w:rsid w:val="004360F9"/>
    <w:rsid w:val="004368C8"/>
    <w:rsid w:val="004425C7"/>
    <w:rsid w:val="004431A5"/>
    <w:rsid w:val="004433A6"/>
    <w:rsid w:val="00443EBA"/>
    <w:rsid w:val="00444D2A"/>
    <w:rsid w:val="0044525B"/>
    <w:rsid w:val="0044617F"/>
    <w:rsid w:val="004461F5"/>
    <w:rsid w:val="0044635A"/>
    <w:rsid w:val="00454AEB"/>
    <w:rsid w:val="00455AEA"/>
    <w:rsid w:val="00456AA1"/>
    <w:rsid w:val="004573CA"/>
    <w:rsid w:val="00460F52"/>
    <w:rsid w:val="004612AC"/>
    <w:rsid w:val="004636DD"/>
    <w:rsid w:val="0046561A"/>
    <w:rsid w:val="00466411"/>
    <w:rsid w:val="00466ED2"/>
    <w:rsid w:val="00467633"/>
    <w:rsid w:val="00470715"/>
    <w:rsid w:val="0047477E"/>
    <w:rsid w:val="00475EA0"/>
    <w:rsid w:val="0048179D"/>
    <w:rsid w:val="004852B9"/>
    <w:rsid w:val="00487713"/>
    <w:rsid w:val="004929EC"/>
    <w:rsid w:val="00492F63"/>
    <w:rsid w:val="004944AE"/>
    <w:rsid w:val="00497AC3"/>
    <w:rsid w:val="004A0FFD"/>
    <w:rsid w:val="004A1267"/>
    <w:rsid w:val="004A179B"/>
    <w:rsid w:val="004A1FD2"/>
    <w:rsid w:val="004A249E"/>
    <w:rsid w:val="004A2A84"/>
    <w:rsid w:val="004A35A1"/>
    <w:rsid w:val="004A44FC"/>
    <w:rsid w:val="004A639A"/>
    <w:rsid w:val="004A6B06"/>
    <w:rsid w:val="004A6C42"/>
    <w:rsid w:val="004A6C7C"/>
    <w:rsid w:val="004A6D21"/>
    <w:rsid w:val="004A7617"/>
    <w:rsid w:val="004B11B9"/>
    <w:rsid w:val="004B2BA1"/>
    <w:rsid w:val="004B4400"/>
    <w:rsid w:val="004B4967"/>
    <w:rsid w:val="004C135F"/>
    <w:rsid w:val="004C14F9"/>
    <w:rsid w:val="004C1A71"/>
    <w:rsid w:val="004C2D08"/>
    <w:rsid w:val="004C4071"/>
    <w:rsid w:val="004C4ED2"/>
    <w:rsid w:val="004C6AD0"/>
    <w:rsid w:val="004C6B1C"/>
    <w:rsid w:val="004C73A1"/>
    <w:rsid w:val="004D0731"/>
    <w:rsid w:val="004D1F70"/>
    <w:rsid w:val="004D25B4"/>
    <w:rsid w:val="004D41B9"/>
    <w:rsid w:val="004D77F2"/>
    <w:rsid w:val="004D7891"/>
    <w:rsid w:val="004D78C8"/>
    <w:rsid w:val="004D7EFF"/>
    <w:rsid w:val="004E057E"/>
    <w:rsid w:val="004E13BE"/>
    <w:rsid w:val="004E7BE3"/>
    <w:rsid w:val="004E7CBE"/>
    <w:rsid w:val="004F0389"/>
    <w:rsid w:val="004F0A55"/>
    <w:rsid w:val="004F12EB"/>
    <w:rsid w:val="004F1642"/>
    <w:rsid w:val="004F1925"/>
    <w:rsid w:val="004F3B8E"/>
    <w:rsid w:val="004F57BE"/>
    <w:rsid w:val="004F5F84"/>
    <w:rsid w:val="005000CC"/>
    <w:rsid w:val="00500F44"/>
    <w:rsid w:val="00501E65"/>
    <w:rsid w:val="005022C4"/>
    <w:rsid w:val="0050339D"/>
    <w:rsid w:val="005049E1"/>
    <w:rsid w:val="00505812"/>
    <w:rsid w:val="00506D2C"/>
    <w:rsid w:val="005070E1"/>
    <w:rsid w:val="005077B4"/>
    <w:rsid w:val="00510302"/>
    <w:rsid w:val="0051173D"/>
    <w:rsid w:val="0051216D"/>
    <w:rsid w:val="0051269D"/>
    <w:rsid w:val="00513CA3"/>
    <w:rsid w:val="0051516E"/>
    <w:rsid w:val="00515F24"/>
    <w:rsid w:val="005169DB"/>
    <w:rsid w:val="00517D29"/>
    <w:rsid w:val="005205A4"/>
    <w:rsid w:val="00520AE3"/>
    <w:rsid w:val="0052641C"/>
    <w:rsid w:val="005270A2"/>
    <w:rsid w:val="005278AC"/>
    <w:rsid w:val="005300DA"/>
    <w:rsid w:val="00530EB5"/>
    <w:rsid w:val="005317EA"/>
    <w:rsid w:val="0053226E"/>
    <w:rsid w:val="00534312"/>
    <w:rsid w:val="00536822"/>
    <w:rsid w:val="00536A04"/>
    <w:rsid w:val="00537D73"/>
    <w:rsid w:val="00542F35"/>
    <w:rsid w:val="00543D4B"/>
    <w:rsid w:val="00544A7E"/>
    <w:rsid w:val="00545D0B"/>
    <w:rsid w:val="00545F4B"/>
    <w:rsid w:val="005460AA"/>
    <w:rsid w:val="00547B08"/>
    <w:rsid w:val="00547B2D"/>
    <w:rsid w:val="005506E1"/>
    <w:rsid w:val="00552187"/>
    <w:rsid w:val="00553D07"/>
    <w:rsid w:val="00554B62"/>
    <w:rsid w:val="005551CA"/>
    <w:rsid w:val="0055602B"/>
    <w:rsid w:val="0055712A"/>
    <w:rsid w:val="00557C6B"/>
    <w:rsid w:val="00564E5B"/>
    <w:rsid w:val="005652B0"/>
    <w:rsid w:val="005709F3"/>
    <w:rsid w:val="00571EEF"/>
    <w:rsid w:val="00572BA0"/>
    <w:rsid w:val="00573941"/>
    <w:rsid w:val="005748F9"/>
    <w:rsid w:val="00575E50"/>
    <w:rsid w:val="00577177"/>
    <w:rsid w:val="00577574"/>
    <w:rsid w:val="00580F37"/>
    <w:rsid w:val="0058157B"/>
    <w:rsid w:val="00582FD9"/>
    <w:rsid w:val="005863D5"/>
    <w:rsid w:val="005870AE"/>
    <w:rsid w:val="0058733C"/>
    <w:rsid w:val="005906F0"/>
    <w:rsid w:val="005927E7"/>
    <w:rsid w:val="005932DB"/>
    <w:rsid w:val="00593790"/>
    <w:rsid w:val="005953CD"/>
    <w:rsid w:val="0059715D"/>
    <w:rsid w:val="00597378"/>
    <w:rsid w:val="005A1CB7"/>
    <w:rsid w:val="005A2E33"/>
    <w:rsid w:val="005A2E8E"/>
    <w:rsid w:val="005A3F55"/>
    <w:rsid w:val="005A4789"/>
    <w:rsid w:val="005A4876"/>
    <w:rsid w:val="005A49F8"/>
    <w:rsid w:val="005B0698"/>
    <w:rsid w:val="005B130B"/>
    <w:rsid w:val="005B1624"/>
    <w:rsid w:val="005B3591"/>
    <w:rsid w:val="005B383A"/>
    <w:rsid w:val="005B3FDD"/>
    <w:rsid w:val="005B4D6F"/>
    <w:rsid w:val="005B5944"/>
    <w:rsid w:val="005B5B5D"/>
    <w:rsid w:val="005B6394"/>
    <w:rsid w:val="005B7A82"/>
    <w:rsid w:val="005C002B"/>
    <w:rsid w:val="005C0182"/>
    <w:rsid w:val="005C08AC"/>
    <w:rsid w:val="005C0C28"/>
    <w:rsid w:val="005C13ED"/>
    <w:rsid w:val="005C16BD"/>
    <w:rsid w:val="005C5A18"/>
    <w:rsid w:val="005C639B"/>
    <w:rsid w:val="005C6AA8"/>
    <w:rsid w:val="005C74CB"/>
    <w:rsid w:val="005D0E8E"/>
    <w:rsid w:val="005D188B"/>
    <w:rsid w:val="005D1C10"/>
    <w:rsid w:val="005D2267"/>
    <w:rsid w:val="005D3A7B"/>
    <w:rsid w:val="005D3C5F"/>
    <w:rsid w:val="005D618D"/>
    <w:rsid w:val="005D63F5"/>
    <w:rsid w:val="005D7544"/>
    <w:rsid w:val="005D7770"/>
    <w:rsid w:val="005E1A36"/>
    <w:rsid w:val="005E2C0E"/>
    <w:rsid w:val="005E4556"/>
    <w:rsid w:val="005E4CA5"/>
    <w:rsid w:val="005E59B6"/>
    <w:rsid w:val="005E7B32"/>
    <w:rsid w:val="005F01E2"/>
    <w:rsid w:val="005F089A"/>
    <w:rsid w:val="005F15AC"/>
    <w:rsid w:val="005F17E1"/>
    <w:rsid w:val="005F1E7B"/>
    <w:rsid w:val="005F1EF8"/>
    <w:rsid w:val="005F32B9"/>
    <w:rsid w:val="005F5069"/>
    <w:rsid w:val="005F5A22"/>
    <w:rsid w:val="005F5B33"/>
    <w:rsid w:val="005F5E01"/>
    <w:rsid w:val="005F5F1F"/>
    <w:rsid w:val="0060010D"/>
    <w:rsid w:val="006004F5"/>
    <w:rsid w:val="006011B4"/>
    <w:rsid w:val="006029B1"/>
    <w:rsid w:val="006038BC"/>
    <w:rsid w:val="00610BBD"/>
    <w:rsid w:val="00612CAC"/>
    <w:rsid w:val="00612E55"/>
    <w:rsid w:val="0061394B"/>
    <w:rsid w:val="0061452F"/>
    <w:rsid w:val="006168CE"/>
    <w:rsid w:val="00616919"/>
    <w:rsid w:val="006171CE"/>
    <w:rsid w:val="00617969"/>
    <w:rsid w:val="006204E2"/>
    <w:rsid w:val="00622289"/>
    <w:rsid w:val="00625107"/>
    <w:rsid w:val="00625733"/>
    <w:rsid w:val="0062707E"/>
    <w:rsid w:val="006279D2"/>
    <w:rsid w:val="00630CD2"/>
    <w:rsid w:val="00632213"/>
    <w:rsid w:val="006335C1"/>
    <w:rsid w:val="0063436D"/>
    <w:rsid w:val="00637CB6"/>
    <w:rsid w:val="00640A1C"/>
    <w:rsid w:val="006420CC"/>
    <w:rsid w:val="0064321F"/>
    <w:rsid w:val="00643A6D"/>
    <w:rsid w:val="00643B82"/>
    <w:rsid w:val="00651D52"/>
    <w:rsid w:val="00651E38"/>
    <w:rsid w:val="00651F11"/>
    <w:rsid w:val="00652085"/>
    <w:rsid w:val="006525EC"/>
    <w:rsid w:val="006532E1"/>
    <w:rsid w:val="00653CFA"/>
    <w:rsid w:val="00655BFC"/>
    <w:rsid w:val="0066017C"/>
    <w:rsid w:val="00660918"/>
    <w:rsid w:val="00660F5E"/>
    <w:rsid w:val="0066206E"/>
    <w:rsid w:val="00663EE5"/>
    <w:rsid w:val="00664B7A"/>
    <w:rsid w:val="00664C3F"/>
    <w:rsid w:val="00665E3C"/>
    <w:rsid w:val="0066786E"/>
    <w:rsid w:val="00667C78"/>
    <w:rsid w:val="00670133"/>
    <w:rsid w:val="00670B7E"/>
    <w:rsid w:val="00670DB0"/>
    <w:rsid w:val="00671631"/>
    <w:rsid w:val="00672CFF"/>
    <w:rsid w:val="00672DBD"/>
    <w:rsid w:val="006752CE"/>
    <w:rsid w:val="006767AD"/>
    <w:rsid w:val="00676804"/>
    <w:rsid w:val="0068047E"/>
    <w:rsid w:val="00680AFF"/>
    <w:rsid w:val="00682E55"/>
    <w:rsid w:val="00682F84"/>
    <w:rsid w:val="00682FB0"/>
    <w:rsid w:val="00683623"/>
    <w:rsid w:val="00683C0C"/>
    <w:rsid w:val="00684011"/>
    <w:rsid w:val="00684DBE"/>
    <w:rsid w:val="00685324"/>
    <w:rsid w:val="00685E31"/>
    <w:rsid w:val="0069088E"/>
    <w:rsid w:val="006918CB"/>
    <w:rsid w:val="00693F50"/>
    <w:rsid w:val="00695065"/>
    <w:rsid w:val="006971EB"/>
    <w:rsid w:val="006A0BE9"/>
    <w:rsid w:val="006A1384"/>
    <w:rsid w:val="006A2A3D"/>
    <w:rsid w:val="006A3294"/>
    <w:rsid w:val="006A3E3F"/>
    <w:rsid w:val="006A4513"/>
    <w:rsid w:val="006A4882"/>
    <w:rsid w:val="006A55C3"/>
    <w:rsid w:val="006A6268"/>
    <w:rsid w:val="006A6797"/>
    <w:rsid w:val="006A6D07"/>
    <w:rsid w:val="006B0221"/>
    <w:rsid w:val="006B1A48"/>
    <w:rsid w:val="006B3108"/>
    <w:rsid w:val="006B4967"/>
    <w:rsid w:val="006B5150"/>
    <w:rsid w:val="006B657A"/>
    <w:rsid w:val="006B6D66"/>
    <w:rsid w:val="006B7A6C"/>
    <w:rsid w:val="006C2533"/>
    <w:rsid w:val="006C3634"/>
    <w:rsid w:val="006C46DC"/>
    <w:rsid w:val="006C5208"/>
    <w:rsid w:val="006C5ECB"/>
    <w:rsid w:val="006C6386"/>
    <w:rsid w:val="006C7158"/>
    <w:rsid w:val="006D01D7"/>
    <w:rsid w:val="006D02C1"/>
    <w:rsid w:val="006D1C42"/>
    <w:rsid w:val="006D257E"/>
    <w:rsid w:val="006D41F8"/>
    <w:rsid w:val="006D4969"/>
    <w:rsid w:val="006D4AD3"/>
    <w:rsid w:val="006D4DF1"/>
    <w:rsid w:val="006D528C"/>
    <w:rsid w:val="006D5AEF"/>
    <w:rsid w:val="006D5B86"/>
    <w:rsid w:val="006E1C76"/>
    <w:rsid w:val="006E3C1E"/>
    <w:rsid w:val="006E3C86"/>
    <w:rsid w:val="006E3E3B"/>
    <w:rsid w:val="006E4072"/>
    <w:rsid w:val="006E41B3"/>
    <w:rsid w:val="006E4471"/>
    <w:rsid w:val="006E6BC3"/>
    <w:rsid w:val="006E7689"/>
    <w:rsid w:val="006F191D"/>
    <w:rsid w:val="006F3348"/>
    <w:rsid w:val="006F3619"/>
    <w:rsid w:val="006F380A"/>
    <w:rsid w:val="006F3D54"/>
    <w:rsid w:val="006F4E63"/>
    <w:rsid w:val="006F57E4"/>
    <w:rsid w:val="00700D2B"/>
    <w:rsid w:val="00701C93"/>
    <w:rsid w:val="007057E7"/>
    <w:rsid w:val="00705C57"/>
    <w:rsid w:val="0070719C"/>
    <w:rsid w:val="007107ED"/>
    <w:rsid w:val="00712B93"/>
    <w:rsid w:val="0072049A"/>
    <w:rsid w:val="00722404"/>
    <w:rsid w:val="007225C6"/>
    <w:rsid w:val="00722D79"/>
    <w:rsid w:val="007242B8"/>
    <w:rsid w:val="007250BB"/>
    <w:rsid w:val="007251B4"/>
    <w:rsid w:val="007255F1"/>
    <w:rsid w:val="007266CA"/>
    <w:rsid w:val="00726860"/>
    <w:rsid w:val="00734A65"/>
    <w:rsid w:val="007360DB"/>
    <w:rsid w:val="00736D39"/>
    <w:rsid w:val="00736E67"/>
    <w:rsid w:val="00740049"/>
    <w:rsid w:val="00740437"/>
    <w:rsid w:val="00742133"/>
    <w:rsid w:val="007427C4"/>
    <w:rsid w:val="007434A3"/>
    <w:rsid w:val="00744153"/>
    <w:rsid w:val="007468D8"/>
    <w:rsid w:val="0074691A"/>
    <w:rsid w:val="00746F9D"/>
    <w:rsid w:val="007526C3"/>
    <w:rsid w:val="007534CF"/>
    <w:rsid w:val="007546C9"/>
    <w:rsid w:val="00755943"/>
    <w:rsid w:val="0075683C"/>
    <w:rsid w:val="0075725B"/>
    <w:rsid w:val="00757E4E"/>
    <w:rsid w:val="00760AC6"/>
    <w:rsid w:val="0076276E"/>
    <w:rsid w:val="00762C57"/>
    <w:rsid w:val="0076674A"/>
    <w:rsid w:val="007670C6"/>
    <w:rsid w:val="00771626"/>
    <w:rsid w:val="0077176F"/>
    <w:rsid w:val="00771BB7"/>
    <w:rsid w:val="007721E5"/>
    <w:rsid w:val="00773017"/>
    <w:rsid w:val="00775CFF"/>
    <w:rsid w:val="0077787D"/>
    <w:rsid w:val="00780DBB"/>
    <w:rsid w:val="007814CF"/>
    <w:rsid w:val="00781B91"/>
    <w:rsid w:val="00782C6C"/>
    <w:rsid w:val="0078382B"/>
    <w:rsid w:val="0078393C"/>
    <w:rsid w:val="00783D60"/>
    <w:rsid w:val="00783E7B"/>
    <w:rsid w:val="00784903"/>
    <w:rsid w:val="007858F3"/>
    <w:rsid w:val="00787896"/>
    <w:rsid w:val="007878D0"/>
    <w:rsid w:val="007909B5"/>
    <w:rsid w:val="00791A38"/>
    <w:rsid w:val="00791DC2"/>
    <w:rsid w:val="00792AD3"/>
    <w:rsid w:val="00792AEE"/>
    <w:rsid w:val="00793A02"/>
    <w:rsid w:val="007944FA"/>
    <w:rsid w:val="00795C2B"/>
    <w:rsid w:val="00796148"/>
    <w:rsid w:val="00796E61"/>
    <w:rsid w:val="007979E4"/>
    <w:rsid w:val="007A2179"/>
    <w:rsid w:val="007A2939"/>
    <w:rsid w:val="007A3EA9"/>
    <w:rsid w:val="007A412C"/>
    <w:rsid w:val="007A5E25"/>
    <w:rsid w:val="007A5ED6"/>
    <w:rsid w:val="007A6759"/>
    <w:rsid w:val="007A679A"/>
    <w:rsid w:val="007A7725"/>
    <w:rsid w:val="007B2C01"/>
    <w:rsid w:val="007B5B77"/>
    <w:rsid w:val="007B60D1"/>
    <w:rsid w:val="007B65D8"/>
    <w:rsid w:val="007B72C4"/>
    <w:rsid w:val="007C0CF8"/>
    <w:rsid w:val="007C5562"/>
    <w:rsid w:val="007C6193"/>
    <w:rsid w:val="007C623C"/>
    <w:rsid w:val="007C63E6"/>
    <w:rsid w:val="007D41B5"/>
    <w:rsid w:val="007D466E"/>
    <w:rsid w:val="007D5409"/>
    <w:rsid w:val="007D5510"/>
    <w:rsid w:val="007D5936"/>
    <w:rsid w:val="007D786C"/>
    <w:rsid w:val="007D7B41"/>
    <w:rsid w:val="007E39BC"/>
    <w:rsid w:val="007E437F"/>
    <w:rsid w:val="007E4E65"/>
    <w:rsid w:val="007E53C0"/>
    <w:rsid w:val="007E6373"/>
    <w:rsid w:val="007E70ED"/>
    <w:rsid w:val="007E7D92"/>
    <w:rsid w:val="007E7EE1"/>
    <w:rsid w:val="007F149F"/>
    <w:rsid w:val="007F41FE"/>
    <w:rsid w:val="007F6C14"/>
    <w:rsid w:val="007F6FE8"/>
    <w:rsid w:val="007F7044"/>
    <w:rsid w:val="0080257B"/>
    <w:rsid w:val="00802BC2"/>
    <w:rsid w:val="0080389A"/>
    <w:rsid w:val="00805469"/>
    <w:rsid w:val="0080579B"/>
    <w:rsid w:val="0080650D"/>
    <w:rsid w:val="00807943"/>
    <w:rsid w:val="00807A17"/>
    <w:rsid w:val="00811FD3"/>
    <w:rsid w:val="0081394C"/>
    <w:rsid w:val="00817085"/>
    <w:rsid w:val="00817ED3"/>
    <w:rsid w:val="00817F56"/>
    <w:rsid w:val="00821A6E"/>
    <w:rsid w:val="00823C98"/>
    <w:rsid w:val="00823CA2"/>
    <w:rsid w:val="00824EF0"/>
    <w:rsid w:val="00827EB5"/>
    <w:rsid w:val="008300A7"/>
    <w:rsid w:val="00830B01"/>
    <w:rsid w:val="00830DAF"/>
    <w:rsid w:val="008324DD"/>
    <w:rsid w:val="00833613"/>
    <w:rsid w:val="00833ADA"/>
    <w:rsid w:val="00840185"/>
    <w:rsid w:val="0084150A"/>
    <w:rsid w:val="0084198B"/>
    <w:rsid w:val="008425CF"/>
    <w:rsid w:val="00842A44"/>
    <w:rsid w:val="008437F8"/>
    <w:rsid w:val="00844641"/>
    <w:rsid w:val="00844DD2"/>
    <w:rsid w:val="0084502B"/>
    <w:rsid w:val="00845117"/>
    <w:rsid w:val="0084533B"/>
    <w:rsid w:val="008454B9"/>
    <w:rsid w:val="008464D6"/>
    <w:rsid w:val="008478CE"/>
    <w:rsid w:val="008521DC"/>
    <w:rsid w:val="00852645"/>
    <w:rsid w:val="008535F3"/>
    <w:rsid w:val="00854192"/>
    <w:rsid w:val="008552E2"/>
    <w:rsid w:val="00863199"/>
    <w:rsid w:val="00864CE1"/>
    <w:rsid w:val="00865FA4"/>
    <w:rsid w:val="00867F51"/>
    <w:rsid w:val="00870A06"/>
    <w:rsid w:val="00872DFF"/>
    <w:rsid w:val="008738DD"/>
    <w:rsid w:val="00874BD4"/>
    <w:rsid w:val="008752B7"/>
    <w:rsid w:val="008754D2"/>
    <w:rsid w:val="00875F83"/>
    <w:rsid w:val="00876360"/>
    <w:rsid w:val="00876C2F"/>
    <w:rsid w:val="00877671"/>
    <w:rsid w:val="008812CF"/>
    <w:rsid w:val="00882709"/>
    <w:rsid w:val="00882930"/>
    <w:rsid w:val="00885853"/>
    <w:rsid w:val="00886323"/>
    <w:rsid w:val="00887803"/>
    <w:rsid w:val="00890D18"/>
    <w:rsid w:val="0089328A"/>
    <w:rsid w:val="008941A1"/>
    <w:rsid w:val="008953AE"/>
    <w:rsid w:val="00895E30"/>
    <w:rsid w:val="00895E91"/>
    <w:rsid w:val="00896042"/>
    <w:rsid w:val="00896B34"/>
    <w:rsid w:val="008A06A4"/>
    <w:rsid w:val="008A2440"/>
    <w:rsid w:val="008A3243"/>
    <w:rsid w:val="008A3CB0"/>
    <w:rsid w:val="008A5540"/>
    <w:rsid w:val="008A7741"/>
    <w:rsid w:val="008A77B2"/>
    <w:rsid w:val="008B2097"/>
    <w:rsid w:val="008B3513"/>
    <w:rsid w:val="008B506A"/>
    <w:rsid w:val="008B5E86"/>
    <w:rsid w:val="008B7B51"/>
    <w:rsid w:val="008C0AB2"/>
    <w:rsid w:val="008C13F4"/>
    <w:rsid w:val="008C1535"/>
    <w:rsid w:val="008C17D9"/>
    <w:rsid w:val="008C2C2F"/>
    <w:rsid w:val="008C591F"/>
    <w:rsid w:val="008C5CB0"/>
    <w:rsid w:val="008D0016"/>
    <w:rsid w:val="008D145E"/>
    <w:rsid w:val="008D221A"/>
    <w:rsid w:val="008D3EF7"/>
    <w:rsid w:val="008D4268"/>
    <w:rsid w:val="008D5A40"/>
    <w:rsid w:val="008D5C45"/>
    <w:rsid w:val="008D66DB"/>
    <w:rsid w:val="008D68FD"/>
    <w:rsid w:val="008D7203"/>
    <w:rsid w:val="008D733E"/>
    <w:rsid w:val="008D77CD"/>
    <w:rsid w:val="008D7E89"/>
    <w:rsid w:val="008E08FF"/>
    <w:rsid w:val="008E1CEA"/>
    <w:rsid w:val="008E2760"/>
    <w:rsid w:val="008E33AA"/>
    <w:rsid w:val="008E5C7F"/>
    <w:rsid w:val="008E6165"/>
    <w:rsid w:val="008E6377"/>
    <w:rsid w:val="008E6E18"/>
    <w:rsid w:val="008E7D79"/>
    <w:rsid w:val="008F1EA6"/>
    <w:rsid w:val="008F211E"/>
    <w:rsid w:val="008F3024"/>
    <w:rsid w:val="008F3363"/>
    <w:rsid w:val="008F4EEB"/>
    <w:rsid w:val="008F570D"/>
    <w:rsid w:val="008F6315"/>
    <w:rsid w:val="00900A29"/>
    <w:rsid w:val="00901F46"/>
    <w:rsid w:val="009020DE"/>
    <w:rsid w:val="00902EC1"/>
    <w:rsid w:val="009043B0"/>
    <w:rsid w:val="009050CE"/>
    <w:rsid w:val="00905CCE"/>
    <w:rsid w:val="009062FF"/>
    <w:rsid w:val="00906874"/>
    <w:rsid w:val="009075F4"/>
    <w:rsid w:val="0091003A"/>
    <w:rsid w:val="009100BC"/>
    <w:rsid w:val="009107BC"/>
    <w:rsid w:val="00910BCF"/>
    <w:rsid w:val="00913990"/>
    <w:rsid w:val="0091499F"/>
    <w:rsid w:val="009153E9"/>
    <w:rsid w:val="009164E2"/>
    <w:rsid w:val="00917026"/>
    <w:rsid w:val="009201FE"/>
    <w:rsid w:val="00924EA7"/>
    <w:rsid w:val="0092509B"/>
    <w:rsid w:val="00925669"/>
    <w:rsid w:val="009261B7"/>
    <w:rsid w:val="00926B13"/>
    <w:rsid w:val="0092736C"/>
    <w:rsid w:val="00927A92"/>
    <w:rsid w:val="00927B79"/>
    <w:rsid w:val="009301F8"/>
    <w:rsid w:val="009317F3"/>
    <w:rsid w:val="00931FE3"/>
    <w:rsid w:val="0093242A"/>
    <w:rsid w:val="00934CD6"/>
    <w:rsid w:val="00936FD6"/>
    <w:rsid w:val="00941CB7"/>
    <w:rsid w:val="00941CE7"/>
    <w:rsid w:val="00942D2A"/>
    <w:rsid w:val="00944310"/>
    <w:rsid w:val="00944DFA"/>
    <w:rsid w:val="00946007"/>
    <w:rsid w:val="00951518"/>
    <w:rsid w:val="009534AF"/>
    <w:rsid w:val="0095475D"/>
    <w:rsid w:val="00954FA4"/>
    <w:rsid w:val="0095666C"/>
    <w:rsid w:val="00961A53"/>
    <w:rsid w:val="0096269F"/>
    <w:rsid w:val="009626A6"/>
    <w:rsid w:val="0096432E"/>
    <w:rsid w:val="00964783"/>
    <w:rsid w:val="00965F97"/>
    <w:rsid w:val="009666BB"/>
    <w:rsid w:val="00967E51"/>
    <w:rsid w:val="00967EDF"/>
    <w:rsid w:val="009700D4"/>
    <w:rsid w:val="0097118F"/>
    <w:rsid w:val="00971B0F"/>
    <w:rsid w:val="00972162"/>
    <w:rsid w:val="009762B7"/>
    <w:rsid w:val="0097722D"/>
    <w:rsid w:val="009778F9"/>
    <w:rsid w:val="00980018"/>
    <w:rsid w:val="009804BB"/>
    <w:rsid w:val="00982E7E"/>
    <w:rsid w:val="009837CA"/>
    <w:rsid w:val="00983E1B"/>
    <w:rsid w:val="009840FB"/>
    <w:rsid w:val="00984346"/>
    <w:rsid w:val="00985671"/>
    <w:rsid w:val="00986421"/>
    <w:rsid w:val="0098658D"/>
    <w:rsid w:val="00986E23"/>
    <w:rsid w:val="009874A1"/>
    <w:rsid w:val="009877F9"/>
    <w:rsid w:val="009879BC"/>
    <w:rsid w:val="00990DE8"/>
    <w:rsid w:val="00991903"/>
    <w:rsid w:val="009935C1"/>
    <w:rsid w:val="00994A3C"/>
    <w:rsid w:val="00994B95"/>
    <w:rsid w:val="00997494"/>
    <w:rsid w:val="00997A42"/>
    <w:rsid w:val="009A1AD7"/>
    <w:rsid w:val="009A25A6"/>
    <w:rsid w:val="009A319A"/>
    <w:rsid w:val="009A387A"/>
    <w:rsid w:val="009A4249"/>
    <w:rsid w:val="009A6617"/>
    <w:rsid w:val="009B23C7"/>
    <w:rsid w:val="009B408B"/>
    <w:rsid w:val="009B677F"/>
    <w:rsid w:val="009C00D1"/>
    <w:rsid w:val="009C10A5"/>
    <w:rsid w:val="009C1AE8"/>
    <w:rsid w:val="009C2A4C"/>
    <w:rsid w:val="009C2E9F"/>
    <w:rsid w:val="009C3321"/>
    <w:rsid w:val="009C38DB"/>
    <w:rsid w:val="009C51EF"/>
    <w:rsid w:val="009C5582"/>
    <w:rsid w:val="009C60BA"/>
    <w:rsid w:val="009D061B"/>
    <w:rsid w:val="009D0731"/>
    <w:rsid w:val="009D1E46"/>
    <w:rsid w:val="009D2DE4"/>
    <w:rsid w:val="009D51D1"/>
    <w:rsid w:val="009D5F20"/>
    <w:rsid w:val="009D77A9"/>
    <w:rsid w:val="009E0C79"/>
    <w:rsid w:val="009E0D9D"/>
    <w:rsid w:val="009E0F8D"/>
    <w:rsid w:val="009E3643"/>
    <w:rsid w:val="009E3CED"/>
    <w:rsid w:val="009E4A6C"/>
    <w:rsid w:val="009E555C"/>
    <w:rsid w:val="009E675B"/>
    <w:rsid w:val="009F25E3"/>
    <w:rsid w:val="009F2C92"/>
    <w:rsid w:val="009F32CD"/>
    <w:rsid w:val="009F3853"/>
    <w:rsid w:val="009F3D78"/>
    <w:rsid w:val="009F4787"/>
    <w:rsid w:val="009F53A6"/>
    <w:rsid w:val="009F7222"/>
    <w:rsid w:val="009F764E"/>
    <w:rsid w:val="00A00066"/>
    <w:rsid w:val="00A017C3"/>
    <w:rsid w:val="00A01A01"/>
    <w:rsid w:val="00A034E6"/>
    <w:rsid w:val="00A0364D"/>
    <w:rsid w:val="00A046E4"/>
    <w:rsid w:val="00A04F99"/>
    <w:rsid w:val="00A05C1C"/>
    <w:rsid w:val="00A06198"/>
    <w:rsid w:val="00A06479"/>
    <w:rsid w:val="00A07527"/>
    <w:rsid w:val="00A1048D"/>
    <w:rsid w:val="00A10AED"/>
    <w:rsid w:val="00A1305C"/>
    <w:rsid w:val="00A1463E"/>
    <w:rsid w:val="00A1588A"/>
    <w:rsid w:val="00A15D6E"/>
    <w:rsid w:val="00A16402"/>
    <w:rsid w:val="00A169EF"/>
    <w:rsid w:val="00A17157"/>
    <w:rsid w:val="00A17CD8"/>
    <w:rsid w:val="00A20053"/>
    <w:rsid w:val="00A21D1D"/>
    <w:rsid w:val="00A2210F"/>
    <w:rsid w:val="00A22A50"/>
    <w:rsid w:val="00A22D51"/>
    <w:rsid w:val="00A24A88"/>
    <w:rsid w:val="00A25B00"/>
    <w:rsid w:val="00A26738"/>
    <w:rsid w:val="00A27FE5"/>
    <w:rsid w:val="00A300E3"/>
    <w:rsid w:val="00A309BF"/>
    <w:rsid w:val="00A33C09"/>
    <w:rsid w:val="00A33D55"/>
    <w:rsid w:val="00A34D14"/>
    <w:rsid w:val="00A36C74"/>
    <w:rsid w:val="00A375D8"/>
    <w:rsid w:val="00A3768C"/>
    <w:rsid w:val="00A40072"/>
    <w:rsid w:val="00A40939"/>
    <w:rsid w:val="00A41CEA"/>
    <w:rsid w:val="00A4245E"/>
    <w:rsid w:val="00A4324F"/>
    <w:rsid w:val="00A437EA"/>
    <w:rsid w:val="00A442A7"/>
    <w:rsid w:val="00A455BE"/>
    <w:rsid w:val="00A4584D"/>
    <w:rsid w:val="00A45D6B"/>
    <w:rsid w:val="00A45E68"/>
    <w:rsid w:val="00A45F3C"/>
    <w:rsid w:val="00A462C4"/>
    <w:rsid w:val="00A46714"/>
    <w:rsid w:val="00A475F1"/>
    <w:rsid w:val="00A5337E"/>
    <w:rsid w:val="00A53A94"/>
    <w:rsid w:val="00A54A71"/>
    <w:rsid w:val="00A55E0F"/>
    <w:rsid w:val="00A563DE"/>
    <w:rsid w:val="00A571AC"/>
    <w:rsid w:val="00A57B33"/>
    <w:rsid w:val="00A6011C"/>
    <w:rsid w:val="00A60B8C"/>
    <w:rsid w:val="00A60E3F"/>
    <w:rsid w:val="00A614DA"/>
    <w:rsid w:val="00A61F02"/>
    <w:rsid w:val="00A631C1"/>
    <w:rsid w:val="00A63EB7"/>
    <w:rsid w:val="00A64152"/>
    <w:rsid w:val="00A64702"/>
    <w:rsid w:val="00A6512F"/>
    <w:rsid w:val="00A655BB"/>
    <w:rsid w:val="00A65DF8"/>
    <w:rsid w:val="00A71EDC"/>
    <w:rsid w:val="00A742C9"/>
    <w:rsid w:val="00A744C3"/>
    <w:rsid w:val="00A74A6E"/>
    <w:rsid w:val="00A75F19"/>
    <w:rsid w:val="00A75FC2"/>
    <w:rsid w:val="00A76733"/>
    <w:rsid w:val="00A77679"/>
    <w:rsid w:val="00A77A9F"/>
    <w:rsid w:val="00A77E2B"/>
    <w:rsid w:val="00A80EB8"/>
    <w:rsid w:val="00A81AAE"/>
    <w:rsid w:val="00A82525"/>
    <w:rsid w:val="00A82C13"/>
    <w:rsid w:val="00A8437B"/>
    <w:rsid w:val="00A84472"/>
    <w:rsid w:val="00A8532B"/>
    <w:rsid w:val="00A85D11"/>
    <w:rsid w:val="00A874C6"/>
    <w:rsid w:val="00A8759D"/>
    <w:rsid w:val="00A9131E"/>
    <w:rsid w:val="00A914E9"/>
    <w:rsid w:val="00A91E2C"/>
    <w:rsid w:val="00A92586"/>
    <w:rsid w:val="00A95240"/>
    <w:rsid w:val="00A95E1F"/>
    <w:rsid w:val="00A96083"/>
    <w:rsid w:val="00A96592"/>
    <w:rsid w:val="00AA1658"/>
    <w:rsid w:val="00AA247A"/>
    <w:rsid w:val="00AA4AC6"/>
    <w:rsid w:val="00AA5E63"/>
    <w:rsid w:val="00AA60E9"/>
    <w:rsid w:val="00AA648F"/>
    <w:rsid w:val="00AA689C"/>
    <w:rsid w:val="00AA6F54"/>
    <w:rsid w:val="00AB01EF"/>
    <w:rsid w:val="00AB0D42"/>
    <w:rsid w:val="00AC0167"/>
    <w:rsid w:val="00AC0185"/>
    <w:rsid w:val="00AC0556"/>
    <w:rsid w:val="00AC0B44"/>
    <w:rsid w:val="00AC24FA"/>
    <w:rsid w:val="00AC3315"/>
    <w:rsid w:val="00AC3E46"/>
    <w:rsid w:val="00AC6108"/>
    <w:rsid w:val="00AC661E"/>
    <w:rsid w:val="00AC701D"/>
    <w:rsid w:val="00AC79AF"/>
    <w:rsid w:val="00AD12BB"/>
    <w:rsid w:val="00AD19EA"/>
    <w:rsid w:val="00AD3E6E"/>
    <w:rsid w:val="00AD5906"/>
    <w:rsid w:val="00AD5A4E"/>
    <w:rsid w:val="00AD60A8"/>
    <w:rsid w:val="00AD6B70"/>
    <w:rsid w:val="00AD72D1"/>
    <w:rsid w:val="00AD736C"/>
    <w:rsid w:val="00AE19A2"/>
    <w:rsid w:val="00AE239A"/>
    <w:rsid w:val="00AE2A42"/>
    <w:rsid w:val="00AE2DE7"/>
    <w:rsid w:val="00AE35D6"/>
    <w:rsid w:val="00AE40D9"/>
    <w:rsid w:val="00AE6222"/>
    <w:rsid w:val="00AE6C32"/>
    <w:rsid w:val="00AE6DFC"/>
    <w:rsid w:val="00AF1041"/>
    <w:rsid w:val="00AF4678"/>
    <w:rsid w:val="00AF4CC3"/>
    <w:rsid w:val="00AF5402"/>
    <w:rsid w:val="00AF581D"/>
    <w:rsid w:val="00AF64E3"/>
    <w:rsid w:val="00B0202D"/>
    <w:rsid w:val="00B049F7"/>
    <w:rsid w:val="00B04F40"/>
    <w:rsid w:val="00B06194"/>
    <w:rsid w:val="00B10771"/>
    <w:rsid w:val="00B132FA"/>
    <w:rsid w:val="00B14212"/>
    <w:rsid w:val="00B1695D"/>
    <w:rsid w:val="00B22620"/>
    <w:rsid w:val="00B256D0"/>
    <w:rsid w:val="00B25822"/>
    <w:rsid w:val="00B25A2C"/>
    <w:rsid w:val="00B25B6B"/>
    <w:rsid w:val="00B2623E"/>
    <w:rsid w:val="00B2696B"/>
    <w:rsid w:val="00B27023"/>
    <w:rsid w:val="00B27420"/>
    <w:rsid w:val="00B2793E"/>
    <w:rsid w:val="00B306B0"/>
    <w:rsid w:val="00B31E3F"/>
    <w:rsid w:val="00B344F3"/>
    <w:rsid w:val="00B34C72"/>
    <w:rsid w:val="00B36A63"/>
    <w:rsid w:val="00B37086"/>
    <w:rsid w:val="00B373BB"/>
    <w:rsid w:val="00B37A83"/>
    <w:rsid w:val="00B400CB"/>
    <w:rsid w:val="00B40178"/>
    <w:rsid w:val="00B42D79"/>
    <w:rsid w:val="00B434FB"/>
    <w:rsid w:val="00B446F2"/>
    <w:rsid w:val="00B47335"/>
    <w:rsid w:val="00B476FA"/>
    <w:rsid w:val="00B47E1F"/>
    <w:rsid w:val="00B500BA"/>
    <w:rsid w:val="00B53004"/>
    <w:rsid w:val="00B54A93"/>
    <w:rsid w:val="00B54F7A"/>
    <w:rsid w:val="00B55B9F"/>
    <w:rsid w:val="00B60265"/>
    <w:rsid w:val="00B61055"/>
    <w:rsid w:val="00B62035"/>
    <w:rsid w:val="00B62271"/>
    <w:rsid w:val="00B645AC"/>
    <w:rsid w:val="00B6510D"/>
    <w:rsid w:val="00B653E6"/>
    <w:rsid w:val="00B66298"/>
    <w:rsid w:val="00B663F6"/>
    <w:rsid w:val="00B66AA1"/>
    <w:rsid w:val="00B670DC"/>
    <w:rsid w:val="00B67D96"/>
    <w:rsid w:val="00B67DA0"/>
    <w:rsid w:val="00B67E6E"/>
    <w:rsid w:val="00B70B0D"/>
    <w:rsid w:val="00B70C0C"/>
    <w:rsid w:val="00B71DBB"/>
    <w:rsid w:val="00B760AD"/>
    <w:rsid w:val="00B762CF"/>
    <w:rsid w:val="00B80213"/>
    <w:rsid w:val="00B82897"/>
    <w:rsid w:val="00B833EE"/>
    <w:rsid w:val="00B855BD"/>
    <w:rsid w:val="00B900EC"/>
    <w:rsid w:val="00B90E5D"/>
    <w:rsid w:val="00B9294E"/>
    <w:rsid w:val="00B92A96"/>
    <w:rsid w:val="00B94D57"/>
    <w:rsid w:val="00B96B2A"/>
    <w:rsid w:val="00BA0C58"/>
    <w:rsid w:val="00BA0D0A"/>
    <w:rsid w:val="00BA20E3"/>
    <w:rsid w:val="00BA22A8"/>
    <w:rsid w:val="00BA2D92"/>
    <w:rsid w:val="00BA6378"/>
    <w:rsid w:val="00BA67C5"/>
    <w:rsid w:val="00BA7684"/>
    <w:rsid w:val="00BA7C64"/>
    <w:rsid w:val="00BB0164"/>
    <w:rsid w:val="00BB141E"/>
    <w:rsid w:val="00BB79FA"/>
    <w:rsid w:val="00BC0234"/>
    <w:rsid w:val="00BC0A20"/>
    <w:rsid w:val="00BC2E3F"/>
    <w:rsid w:val="00BC2F91"/>
    <w:rsid w:val="00BC3617"/>
    <w:rsid w:val="00BC370A"/>
    <w:rsid w:val="00BC38E2"/>
    <w:rsid w:val="00BC3E10"/>
    <w:rsid w:val="00BC5D0F"/>
    <w:rsid w:val="00BC5DD7"/>
    <w:rsid w:val="00BC69B8"/>
    <w:rsid w:val="00BC71A8"/>
    <w:rsid w:val="00BC763E"/>
    <w:rsid w:val="00BC77B3"/>
    <w:rsid w:val="00BC7EDC"/>
    <w:rsid w:val="00BD5155"/>
    <w:rsid w:val="00BD6AD8"/>
    <w:rsid w:val="00BE1242"/>
    <w:rsid w:val="00BE150C"/>
    <w:rsid w:val="00BE2659"/>
    <w:rsid w:val="00BE2929"/>
    <w:rsid w:val="00BE308F"/>
    <w:rsid w:val="00BE3C97"/>
    <w:rsid w:val="00BE4B68"/>
    <w:rsid w:val="00BE50E8"/>
    <w:rsid w:val="00BE5F94"/>
    <w:rsid w:val="00BE612B"/>
    <w:rsid w:val="00BE6558"/>
    <w:rsid w:val="00BE6588"/>
    <w:rsid w:val="00BE793B"/>
    <w:rsid w:val="00BE7AB3"/>
    <w:rsid w:val="00BF01B7"/>
    <w:rsid w:val="00BF286E"/>
    <w:rsid w:val="00BF618E"/>
    <w:rsid w:val="00BF72C2"/>
    <w:rsid w:val="00BF7B04"/>
    <w:rsid w:val="00C00311"/>
    <w:rsid w:val="00C0054A"/>
    <w:rsid w:val="00C02DD6"/>
    <w:rsid w:val="00C03085"/>
    <w:rsid w:val="00C048FC"/>
    <w:rsid w:val="00C05535"/>
    <w:rsid w:val="00C13469"/>
    <w:rsid w:val="00C134CE"/>
    <w:rsid w:val="00C13A8E"/>
    <w:rsid w:val="00C13CFE"/>
    <w:rsid w:val="00C155A5"/>
    <w:rsid w:val="00C16033"/>
    <w:rsid w:val="00C17B46"/>
    <w:rsid w:val="00C17DC0"/>
    <w:rsid w:val="00C208FA"/>
    <w:rsid w:val="00C22AB8"/>
    <w:rsid w:val="00C2785B"/>
    <w:rsid w:val="00C27976"/>
    <w:rsid w:val="00C317EC"/>
    <w:rsid w:val="00C3392C"/>
    <w:rsid w:val="00C35125"/>
    <w:rsid w:val="00C35CC4"/>
    <w:rsid w:val="00C35EDC"/>
    <w:rsid w:val="00C36066"/>
    <w:rsid w:val="00C3698D"/>
    <w:rsid w:val="00C36BB7"/>
    <w:rsid w:val="00C370C2"/>
    <w:rsid w:val="00C41450"/>
    <w:rsid w:val="00C41FDF"/>
    <w:rsid w:val="00C4347C"/>
    <w:rsid w:val="00C44FF6"/>
    <w:rsid w:val="00C451B1"/>
    <w:rsid w:val="00C45978"/>
    <w:rsid w:val="00C45ABD"/>
    <w:rsid w:val="00C5072D"/>
    <w:rsid w:val="00C5186E"/>
    <w:rsid w:val="00C51C09"/>
    <w:rsid w:val="00C5239D"/>
    <w:rsid w:val="00C52E4E"/>
    <w:rsid w:val="00C536C1"/>
    <w:rsid w:val="00C536DD"/>
    <w:rsid w:val="00C56964"/>
    <w:rsid w:val="00C60E21"/>
    <w:rsid w:val="00C61F2F"/>
    <w:rsid w:val="00C621FC"/>
    <w:rsid w:val="00C623D5"/>
    <w:rsid w:val="00C62B1D"/>
    <w:rsid w:val="00C6342B"/>
    <w:rsid w:val="00C64951"/>
    <w:rsid w:val="00C64EDE"/>
    <w:rsid w:val="00C650C6"/>
    <w:rsid w:val="00C65109"/>
    <w:rsid w:val="00C656E1"/>
    <w:rsid w:val="00C65C11"/>
    <w:rsid w:val="00C67158"/>
    <w:rsid w:val="00C67840"/>
    <w:rsid w:val="00C70359"/>
    <w:rsid w:val="00C70DB6"/>
    <w:rsid w:val="00C71270"/>
    <w:rsid w:val="00C740E8"/>
    <w:rsid w:val="00C746C6"/>
    <w:rsid w:val="00C7475D"/>
    <w:rsid w:val="00C7597B"/>
    <w:rsid w:val="00C75ED6"/>
    <w:rsid w:val="00C75FB2"/>
    <w:rsid w:val="00C81CD2"/>
    <w:rsid w:val="00C82581"/>
    <w:rsid w:val="00C86BFF"/>
    <w:rsid w:val="00C87503"/>
    <w:rsid w:val="00C87BE4"/>
    <w:rsid w:val="00C9040B"/>
    <w:rsid w:val="00C96909"/>
    <w:rsid w:val="00C96E99"/>
    <w:rsid w:val="00C97262"/>
    <w:rsid w:val="00C9742B"/>
    <w:rsid w:val="00C97AB2"/>
    <w:rsid w:val="00CA04D1"/>
    <w:rsid w:val="00CA0A0B"/>
    <w:rsid w:val="00CA4740"/>
    <w:rsid w:val="00CA4FD5"/>
    <w:rsid w:val="00CA5272"/>
    <w:rsid w:val="00CA5F48"/>
    <w:rsid w:val="00CA7302"/>
    <w:rsid w:val="00CA7312"/>
    <w:rsid w:val="00CA7B3B"/>
    <w:rsid w:val="00CB0335"/>
    <w:rsid w:val="00CB18E0"/>
    <w:rsid w:val="00CB35C8"/>
    <w:rsid w:val="00CB5CA4"/>
    <w:rsid w:val="00CB5D22"/>
    <w:rsid w:val="00CB6E3F"/>
    <w:rsid w:val="00CC3DAC"/>
    <w:rsid w:val="00CC42BA"/>
    <w:rsid w:val="00CC6495"/>
    <w:rsid w:val="00CC6CA5"/>
    <w:rsid w:val="00CC6F0B"/>
    <w:rsid w:val="00CC7E6D"/>
    <w:rsid w:val="00CD02ED"/>
    <w:rsid w:val="00CD206A"/>
    <w:rsid w:val="00CD2A42"/>
    <w:rsid w:val="00CD3666"/>
    <w:rsid w:val="00CD4008"/>
    <w:rsid w:val="00CD4CD6"/>
    <w:rsid w:val="00CD4D74"/>
    <w:rsid w:val="00CD5191"/>
    <w:rsid w:val="00CD626D"/>
    <w:rsid w:val="00CD62A8"/>
    <w:rsid w:val="00CD79A8"/>
    <w:rsid w:val="00CE1740"/>
    <w:rsid w:val="00CE2B1B"/>
    <w:rsid w:val="00CE378D"/>
    <w:rsid w:val="00CE3A9B"/>
    <w:rsid w:val="00CE4E7F"/>
    <w:rsid w:val="00CE5030"/>
    <w:rsid w:val="00CE5184"/>
    <w:rsid w:val="00CE6D94"/>
    <w:rsid w:val="00CE7612"/>
    <w:rsid w:val="00CE77F3"/>
    <w:rsid w:val="00CE7A34"/>
    <w:rsid w:val="00CE7FEC"/>
    <w:rsid w:val="00CF0902"/>
    <w:rsid w:val="00CF0C20"/>
    <w:rsid w:val="00CF3106"/>
    <w:rsid w:val="00CF46EB"/>
    <w:rsid w:val="00CF4BFA"/>
    <w:rsid w:val="00CF508A"/>
    <w:rsid w:val="00CF54B3"/>
    <w:rsid w:val="00CF65EB"/>
    <w:rsid w:val="00CF7379"/>
    <w:rsid w:val="00D029B1"/>
    <w:rsid w:val="00D043C8"/>
    <w:rsid w:val="00D07267"/>
    <w:rsid w:val="00D07ADF"/>
    <w:rsid w:val="00D10356"/>
    <w:rsid w:val="00D103D0"/>
    <w:rsid w:val="00D114D0"/>
    <w:rsid w:val="00D12699"/>
    <w:rsid w:val="00D129BC"/>
    <w:rsid w:val="00D15753"/>
    <w:rsid w:val="00D176E1"/>
    <w:rsid w:val="00D17823"/>
    <w:rsid w:val="00D21982"/>
    <w:rsid w:val="00D21D32"/>
    <w:rsid w:val="00D222CA"/>
    <w:rsid w:val="00D223B2"/>
    <w:rsid w:val="00D22E20"/>
    <w:rsid w:val="00D22E9A"/>
    <w:rsid w:val="00D23AB9"/>
    <w:rsid w:val="00D23BB2"/>
    <w:rsid w:val="00D266F1"/>
    <w:rsid w:val="00D26BAB"/>
    <w:rsid w:val="00D26CD8"/>
    <w:rsid w:val="00D2708C"/>
    <w:rsid w:val="00D27F9D"/>
    <w:rsid w:val="00D3124C"/>
    <w:rsid w:val="00D3130A"/>
    <w:rsid w:val="00D32E38"/>
    <w:rsid w:val="00D33E44"/>
    <w:rsid w:val="00D34131"/>
    <w:rsid w:val="00D34588"/>
    <w:rsid w:val="00D349C7"/>
    <w:rsid w:val="00D34AEE"/>
    <w:rsid w:val="00D34EB3"/>
    <w:rsid w:val="00D36D44"/>
    <w:rsid w:val="00D3758B"/>
    <w:rsid w:val="00D37FF2"/>
    <w:rsid w:val="00D415CA"/>
    <w:rsid w:val="00D41D7C"/>
    <w:rsid w:val="00D41F61"/>
    <w:rsid w:val="00D436B0"/>
    <w:rsid w:val="00D4461D"/>
    <w:rsid w:val="00D462C9"/>
    <w:rsid w:val="00D46357"/>
    <w:rsid w:val="00D516CE"/>
    <w:rsid w:val="00D51998"/>
    <w:rsid w:val="00D52B5F"/>
    <w:rsid w:val="00D538CE"/>
    <w:rsid w:val="00D53B06"/>
    <w:rsid w:val="00D543B2"/>
    <w:rsid w:val="00D54400"/>
    <w:rsid w:val="00D5556F"/>
    <w:rsid w:val="00D55D1F"/>
    <w:rsid w:val="00D562AC"/>
    <w:rsid w:val="00D568E2"/>
    <w:rsid w:val="00D56DAD"/>
    <w:rsid w:val="00D6197B"/>
    <w:rsid w:val="00D61D12"/>
    <w:rsid w:val="00D634C7"/>
    <w:rsid w:val="00D63543"/>
    <w:rsid w:val="00D63B8A"/>
    <w:rsid w:val="00D63FE4"/>
    <w:rsid w:val="00D64454"/>
    <w:rsid w:val="00D646D7"/>
    <w:rsid w:val="00D65771"/>
    <w:rsid w:val="00D65CCB"/>
    <w:rsid w:val="00D70689"/>
    <w:rsid w:val="00D70D0B"/>
    <w:rsid w:val="00D751B6"/>
    <w:rsid w:val="00D82236"/>
    <w:rsid w:val="00D85AD5"/>
    <w:rsid w:val="00D9273F"/>
    <w:rsid w:val="00D928EB"/>
    <w:rsid w:val="00D95028"/>
    <w:rsid w:val="00D9513A"/>
    <w:rsid w:val="00D95809"/>
    <w:rsid w:val="00DA19B0"/>
    <w:rsid w:val="00DA2336"/>
    <w:rsid w:val="00DA2BFC"/>
    <w:rsid w:val="00DA3495"/>
    <w:rsid w:val="00DA4782"/>
    <w:rsid w:val="00DA4FC0"/>
    <w:rsid w:val="00DA6790"/>
    <w:rsid w:val="00DB0A62"/>
    <w:rsid w:val="00DB275D"/>
    <w:rsid w:val="00DB2D0E"/>
    <w:rsid w:val="00DB30E0"/>
    <w:rsid w:val="00DB3E16"/>
    <w:rsid w:val="00DB4825"/>
    <w:rsid w:val="00DB606D"/>
    <w:rsid w:val="00DB6B67"/>
    <w:rsid w:val="00DB74F4"/>
    <w:rsid w:val="00DB7C7B"/>
    <w:rsid w:val="00DC06DB"/>
    <w:rsid w:val="00DC1126"/>
    <w:rsid w:val="00DC2A51"/>
    <w:rsid w:val="00DC3855"/>
    <w:rsid w:val="00DC47CE"/>
    <w:rsid w:val="00DC6BF3"/>
    <w:rsid w:val="00DC785C"/>
    <w:rsid w:val="00DD3305"/>
    <w:rsid w:val="00DD566F"/>
    <w:rsid w:val="00DE00DF"/>
    <w:rsid w:val="00DE0F26"/>
    <w:rsid w:val="00DE1D4D"/>
    <w:rsid w:val="00DE24B9"/>
    <w:rsid w:val="00DE4D10"/>
    <w:rsid w:val="00DE4E99"/>
    <w:rsid w:val="00DE5066"/>
    <w:rsid w:val="00DE57FA"/>
    <w:rsid w:val="00DE5E92"/>
    <w:rsid w:val="00DE63DA"/>
    <w:rsid w:val="00DE71B6"/>
    <w:rsid w:val="00DE7346"/>
    <w:rsid w:val="00DF14D5"/>
    <w:rsid w:val="00DF5261"/>
    <w:rsid w:val="00DF655E"/>
    <w:rsid w:val="00DF6582"/>
    <w:rsid w:val="00DF687C"/>
    <w:rsid w:val="00E00400"/>
    <w:rsid w:val="00E00618"/>
    <w:rsid w:val="00E00AD1"/>
    <w:rsid w:val="00E01CD8"/>
    <w:rsid w:val="00E04293"/>
    <w:rsid w:val="00E04801"/>
    <w:rsid w:val="00E04A85"/>
    <w:rsid w:val="00E05577"/>
    <w:rsid w:val="00E057A6"/>
    <w:rsid w:val="00E06002"/>
    <w:rsid w:val="00E06703"/>
    <w:rsid w:val="00E074BE"/>
    <w:rsid w:val="00E0753A"/>
    <w:rsid w:val="00E07ABB"/>
    <w:rsid w:val="00E104C8"/>
    <w:rsid w:val="00E11AE7"/>
    <w:rsid w:val="00E123A5"/>
    <w:rsid w:val="00E13C5A"/>
    <w:rsid w:val="00E14353"/>
    <w:rsid w:val="00E14774"/>
    <w:rsid w:val="00E1565A"/>
    <w:rsid w:val="00E16120"/>
    <w:rsid w:val="00E16154"/>
    <w:rsid w:val="00E16E26"/>
    <w:rsid w:val="00E20920"/>
    <w:rsid w:val="00E210A5"/>
    <w:rsid w:val="00E21639"/>
    <w:rsid w:val="00E236E2"/>
    <w:rsid w:val="00E237D3"/>
    <w:rsid w:val="00E23A93"/>
    <w:rsid w:val="00E2575C"/>
    <w:rsid w:val="00E26793"/>
    <w:rsid w:val="00E27B4E"/>
    <w:rsid w:val="00E27C37"/>
    <w:rsid w:val="00E27E56"/>
    <w:rsid w:val="00E303EC"/>
    <w:rsid w:val="00E30532"/>
    <w:rsid w:val="00E30816"/>
    <w:rsid w:val="00E31272"/>
    <w:rsid w:val="00E31E01"/>
    <w:rsid w:val="00E323EA"/>
    <w:rsid w:val="00E324FE"/>
    <w:rsid w:val="00E32A60"/>
    <w:rsid w:val="00E32A8D"/>
    <w:rsid w:val="00E349A2"/>
    <w:rsid w:val="00E34B99"/>
    <w:rsid w:val="00E3632B"/>
    <w:rsid w:val="00E3636F"/>
    <w:rsid w:val="00E369C1"/>
    <w:rsid w:val="00E36E2D"/>
    <w:rsid w:val="00E37C3C"/>
    <w:rsid w:val="00E37DBB"/>
    <w:rsid w:val="00E4044C"/>
    <w:rsid w:val="00E40EC4"/>
    <w:rsid w:val="00E4134C"/>
    <w:rsid w:val="00E42412"/>
    <w:rsid w:val="00E425BC"/>
    <w:rsid w:val="00E4327B"/>
    <w:rsid w:val="00E43312"/>
    <w:rsid w:val="00E45E01"/>
    <w:rsid w:val="00E46A05"/>
    <w:rsid w:val="00E46ED1"/>
    <w:rsid w:val="00E47D5B"/>
    <w:rsid w:val="00E5048E"/>
    <w:rsid w:val="00E51538"/>
    <w:rsid w:val="00E533C5"/>
    <w:rsid w:val="00E53521"/>
    <w:rsid w:val="00E538DD"/>
    <w:rsid w:val="00E552DA"/>
    <w:rsid w:val="00E55683"/>
    <w:rsid w:val="00E57482"/>
    <w:rsid w:val="00E60CA0"/>
    <w:rsid w:val="00E62136"/>
    <w:rsid w:val="00E6269F"/>
    <w:rsid w:val="00E671A7"/>
    <w:rsid w:val="00E67FF1"/>
    <w:rsid w:val="00E7040E"/>
    <w:rsid w:val="00E71864"/>
    <w:rsid w:val="00E721E4"/>
    <w:rsid w:val="00E723C2"/>
    <w:rsid w:val="00E735CF"/>
    <w:rsid w:val="00E756B6"/>
    <w:rsid w:val="00E7586B"/>
    <w:rsid w:val="00E75ED6"/>
    <w:rsid w:val="00E7619E"/>
    <w:rsid w:val="00E77356"/>
    <w:rsid w:val="00E77367"/>
    <w:rsid w:val="00E77EA1"/>
    <w:rsid w:val="00E8029D"/>
    <w:rsid w:val="00E808CA"/>
    <w:rsid w:val="00E816F9"/>
    <w:rsid w:val="00E82657"/>
    <w:rsid w:val="00E83201"/>
    <w:rsid w:val="00E8340E"/>
    <w:rsid w:val="00E85FCE"/>
    <w:rsid w:val="00E8660A"/>
    <w:rsid w:val="00E86E0C"/>
    <w:rsid w:val="00E902B6"/>
    <w:rsid w:val="00E91B38"/>
    <w:rsid w:val="00E937C2"/>
    <w:rsid w:val="00E947B8"/>
    <w:rsid w:val="00E94E74"/>
    <w:rsid w:val="00E95C1F"/>
    <w:rsid w:val="00E96254"/>
    <w:rsid w:val="00E975B4"/>
    <w:rsid w:val="00EA25F6"/>
    <w:rsid w:val="00EA472F"/>
    <w:rsid w:val="00EA5DFA"/>
    <w:rsid w:val="00EA65E4"/>
    <w:rsid w:val="00EB13A0"/>
    <w:rsid w:val="00EB1B76"/>
    <w:rsid w:val="00EB2537"/>
    <w:rsid w:val="00EB2D0C"/>
    <w:rsid w:val="00EB405E"/>
    <w:rsid w:val="00EB4E6C"/>
    <w:rsid w:val="00EB72E8"/>
    <w:rsid w:val="00EC10DE"/>
    <w:rsid w:val="00EC1BD2"/>
    <w:rsid w:val="00EC1C4F"/>
    <w:rsid w:val="00EC3920"/>
    <w:rsid w:val="00EC3B74"/>
    <w:rsid w:val="00EC4DF4"/>
    <w:rsid w:val="00EC5DD2"/>
    <w:rsid w:val="00EC6D69"/>
    <w:rsid w:val="00EC7055"/>
    <w:rsid w:val="00EC789F"/>
    <w:rsid w:val="00EC7EAA"/>
    <w:rsid w:val="00ED001D"/>
    <w:rsid w:val="00ED0DA6"/>
    <w:rsid w:val="00ED0DEC"/>
    <w:rsid w:val="00ED1342"/>
    <w:rsid w:val="00ED2385"/>
    <w:rsid w:val="00ED3003"/>
    <w:rsid w:val="00ED3AD5"/>
    <w:rsid w:val="00ED3B80"/>
    <w:rsid w:val="00ED3CAF"/>
    <w:rsid w:val="00ED4B84"/>
    <w:rsid w:val="00ED5AE7"/>
    <w:rsid w:val="00ED65D4"/>
    <w:rsid w:val="00ED7972"/>
    <w:rsid w:val="00EE1D2F"/>
    <w:rsid w:val="00EE22C0"/>
    <w:rsid w:val="00EE3B65"/>
    <w:rsid w:val="00EE3DB7"/>
    <w:rsid w:val="00EE414F"/>
    <w:rsid w:val="00EE4A3D"/>
    <w:rsid w:val="00EE55E9"/>
    <w:rsid w:val="00EF065D"/>
    <w:rsid w:val="00EF1B48"/>
    <w:rsid w:val="00EF1DDC"/>
    <w:rsid w:val="00EF3AB7"/>
    <w:rsid w:val="00EF3DE3"/>
    <w:rsid w:val="00EF75B4"/>
    <w:rsid w:val="00EF793E"/>
    <w:rsid w:val="00F015B4"/>
    <w:rsid w:val="00F0224D"/>
    <w:rsid w:val="00F032C2"/>
    <w:rsid w:val="00F040CC"/>
    <w:rsid w:val="00F048DB"/>
    <w:rsid w:val="00F059B4"/>
    <w:rsid w:val="00F1025E"/>
    <w:rsid w:val="00F116FB"/>
    <w:rsid w:val="00F11A98"/>
    <w:rsid w:val="00F1379B"/>
    <w:rsid w:val="00F13F0B"/>
    <w:rsid w:val="00F266BE"/>
    <w:rsid w:val="00F2712E"/>
    <w:rsid w:val="00F31503"/>
    <w:rsid w:val="00F316EB"/>
    <w:rsid w:val="00F32707"/>
    <w:rsid w:val="00F33749"/>
    <w:rsid w:val="00F34973"/>
    <w:rsid w:val="00F35ADE"/>
    <w:rsid w:val="00F36649"/>
    <w:rsid w:val="00F37B09"/>
    <w:rsid w:val="00F41EEA"/>
    <w:rsid w:val="00F428EE"/>
    <w:rsid w:val="00F42B64"/>
    <w:rsid w:val="00F44F03"/>
    <w:rsid w:val="00F46059"/>
    <w:rsid w:val="00F4721C"/>
    <w:rsid w:val="00F47873"/>
    <w:rsid w:val="00F50616"/>
    <w:rsid w:val="00F525B5"/>
    <w:rsid w:val="00F54D6F"/>
    <w:rsid w:val="00F54FB5"/>
    <w:rsid w:val="00F6294C"/>
    <w:rsid w:val="00F65EC7"/>
    <w:rsid w:val="00F66747"/>
    <w:rsid w:val="00F66E98"/>
    <w:rsid w:val="00F67491"/>
    <w:rsid w:val="00F67B73"/>
    <w:rsid w:val="00F70522"/>
    <w:rsid w:val="00F70AEB"/>
    <w:rsid w:val="00F7132F"/>
    <w:rsid w:val="00F71D91"/>
    <w:rsid w:val="00F72A72"/>
    <w:rsid w:val="00F758FA"/>
    <w:rsid w:val="00F7661B"/>
    <w:rsid w:val="00F768AE"/>
    <w:rsid w:val="00F769CD"/>
    <w:rsid w:val="00F76C84"/>
    <w:rsid w:val="00F76CA5"/>
    <w:rsid w:val="00F80719"/>
    <w:rsid w:val="00F80A78"/>
    <w:rsid w:val="00F83041"/>
    <w:rsid w:val="00F8380D"/>
    <w:rsid w:val="00F85464"/>
    <w:rsid w:val="00F85D4F"/>
    <w:rsid w:val="00F85DA4"/>
    <w:rsid w:val="00F879EC"/>
    <w:rsid w:val="00F906A8"/>
    <w:rsid w:val="00F90907"/>
    <w:rsid w:val="00F92A35"/>
    <w:rsid w:val="00F92C61"/>
    <w:rsid w:val="00F94AAB"/>
    <w:rsid w:val="00F94F30"/>
    <w:rsid w:val="00F9527D"/>
    <w:rsid w:val="00F95E2E"/>
    <w:rsid w:val="00F96C1B"/>
    <w:rsid w:val="00FA1C81"/>
    <w:rsid w:val="00FA4341"/>
    <w:rsid w:val="00FA7DD6"/>
    <w:rsid w:val="00FB0828"/>
    <w:rsid w:val="00FB2FA9"/>
    <w:rsid w:val="00FB3F95"/>
    <w:rsid w:val="00FB56FE"/>
    <w:rsid w:val="00FB5DB4"/>
    <w:rsid w:val="00FB6A9F"/>
    <w:rsid w:val="00FB6DD6"/>
    <w:rsid w:val="00FB7D6B"/>
    <w:rsid w:val="00FC0943"/>
    <w:rsid w:val="00FC3D94"/>
    <w:rsid w:val="00FC4810"/>
    <w:rsid w:val="00FD1B44"/>
    <w:rsid w:val="00FD2D0D"/>
    <w:rsid w:val="00FD3A72"/>
    <w:rsid w:val="00FD5201"/>
    <w:rsid w:val="00FD5EE4"/>
    <w:rsid w:val="00FD6476"/>
    <w:rsid w:val="00FD6C86"/>
    <w:rsid w:val="00FD7495"/>
    <w:rsid w:val="00FE05C5"/>
    <w:rsid w:val="00FE396F"/>
    <w:rsid w:val="00FE528E"/>
    <w:rsid w:val="00FE5941"/>
    <w:rsid w:val="00FE7B05"/>
    <w:rsid w:val="00FF06BA"/>
    <w:rsid w:val="00FF0A9B"/>
    <w:rsid w:val="00FF10B6"/>
    <w:rsid w:val="00FF2BF2"/>
    <w:rsid w:val="00FF38A5"/>
    <w:rsid w:val="00FF47CB"/>
    <w:rsid w:val="00FF4E93"/>
    <w:rsid w:val="00FF577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1"/>
    </o:shapelayout>
  </w:shapeDefaults>
  <w:decimalSymbol w:val="."/>
  <w:listSeparator w:val=","/>
  <w15:docId w15:val="{5AD3DD5D-90C7-4B90-809A-CA0915C7F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52E2"/>
  </w:style>
  <w:style w:type="paragraph" w:styleId="Heading5">
    <w:name w:val="heading 5"/>
    <w:basedOn w:val="Normal"/>
    <w:next w:val="Normal"/>
    <w:link w:val="Heading5Char"/>
    <w:qFormat/>
    <w:rsid w:val="00FB3F95"/>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F4D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4DD8"/>
    <w:rPr>
      <w:rFonts w:ascii="Tahoma" w:hAnsi="Tahoma" w:cs="Tahoma"/>
      <w:sz w:val="16"/>
      <w:szCs w:val="16"/>
    </w:rPr>
  </w:style>
  <w:style w:type="character" w:styleId="Strong">
    <w:name w:val="Strong"/>
    <w:basedOn w:val="DefaultParagraphFont"/>
    <w:uiPriority w:val="22"/>
    <w:qFormat/>
    <w:rsid w:val="003F4DD8"/>
    <w:rPr>
      <w:b/>
      <w:bCs/>
    </w:rPr>
  </w:style>
  <w:style w:type="paragraph" w:styleId="Header">
    <w:name w:val="header"/>
    <w:basedOn w:val="Normal"/>
    <w:link w:val="HeaderChar"/>
    <w:uiPriority w:val="99"/>
    <w:unhideWhenUsed/>
    <w:rsid w:val="00670B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0B7E"/>
  </w:style>
  <w:style w:type="paragraph" w:styleId="Footer">
    <w:name w:val="footer"/>
    <w:basedOn w:val="Normal"/>
    <w:link w:val="FooterChar"/>
    <w:uiPriority w:val="99"/>
    <w:unhideWhenUsed/>
    <w:rsid w:val="00670B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0B7E"/>
  </w:style>
  <w:style w:type="character" w:styleId="Hyperlink">
    <w:name w:val="Hyperlink"/>
    <w:basedOn w:val="DefaultParagraphFont"/>
    <w:uiPriority w:val="99"/>
    <w:unhideWhenUsed/>
    <w:rsid w:val="00F70AEB"/>
    <w:rPr>
      <w:color w:val="0000FF" w:themeColor="hyperlink"/>
      <w:u w:val="single"/>
    </w:rPr>
  </w:style>
  <w:style w:type="paragraph" w:styleId="ListParagraph">
    <w:name w:val="List Paragraph"/>
    <w:basedOn w:val="Normal"/>
    <w:uiPriority w:val="34"/>
    <w:qFormat/>
    <w:rsid w:val="00DA2BFC"/>
    <w:pPr>
      <w:ind w:left="720"/>
      <w:contextualSpacing/>
    </w:pPr>
    <w:rPr>
      <w:rFonts w:eastAsiaTheme="minorEastAsia"/>
      <w:lang w:val="en-IN" w:eastAsia="en-IN"/>
    </w:rPr>
  </w:style>
  <w:style w:type="paragraph" w:styleId="NoSpacing">
    <w:name w:val="No Spacing"/>
    <w:uiPriority w:val="1"/>
    <w:qFormat/>
    <w:rsid w:val="00DA2BFC"/>
    <w:pPr>
      <w:spacing w:after="0" w:line="240" w:lineRule="auto"/>
    </w:pPr>
    <w:rPr>
      <w:rFonts w:eastAsiaTheme="minorEastAsia"/>
      <w:lang w:val="en-IN" w:eastAsia="en-IN"/>
    </w:rPr>
  </w:style>
  <w:style w:type="character" w:customStyle="1" w:styleId="apple-converted-space">
    <w:name w:val="apple-converted-space"/>
    <w:basedOn w:val="DefaultParagraphFont"/>
    <w:rsid w:val="00F71D91"/>
  </w:style>
  <w:style w:type="character" w:customStyle="1" w:styleId="Heading5Char">
    <w:name w:val="Heading 5 Char"/>
    <w:basedOn w:val="DefaultParagraphFont"/>
    <w:link w:val="Heading5"/>
    <w:rsid w:val="00FB3F95"/>
    <w:rPr>
      <w:rFonts w:ascii="Times New Roman" w:eastAsia="PMingLiU" w:hAnsi="Times New Roman" w:cs="Times New Roman"/>
      <w:sz w:val="18"/>
      <w:szCs w:val="18"/>
    </w:rPr>
  </w:style>
  <w:style w:type="table" w:styleId="TableGrid">
    <w:name w:val="Table Grid"/>
    <w:basedOn w:val="TableNormal"/>
    <w:uiPriority w:val="59"/>
    <w:rsid w:val="00FB3F9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3092662">
      <w:bodyDiv w:val="1"/>
      <w:marLeft w:val="0"/>
      <w:marRight w:val="0"/>
      <w:marTop w:val="0"/>
      <w:marBottom w:val="0"/>
      <w:divBdr>
        <w:top w:val="none" w:sz="0" w:space="0" w:color="auto"/>
        <w:left w:val="none" w:sz="0" w:space="0" w:color="auto"/>
        <w:bottom w:val="none" w:sz="0" w:space="0" w:color="auto"/>
        <w:right w:val="none" w:sz="0" w:space="0" w:color="auto"/>
      </w:divBdr>
    </w:div>
    <w:div w:id="774249770">
      <w:bodyDiv w:val="1"/>
      <w:marLeft w:val="0"/>
      <w:marRight w:val="0"/>
      <w:marTop w:val="0"/>
      <w:marBottom w:val="0"/>
      <w:divBdr>
        <w:top w:val="none" w:sz="0" w:space="0" w:color="auto"/>
        <w:left w:val="none" w:sz="0" w:space="0" w:color="auto"/>
        <w:bottom w:val="none" w:sz="0" w:space="0" w:color="auto"/>
        <w:right w:val="none" w:sz="0" w:space="0" w:color="auto"/>
      </w:divBdr>
      <w:divsChild>
        <w:div w:id="254479754">
          <w:marLeft w:val="0"/>
          <w:marRight w:val="0"/>
          <w:marTop w:val="0"/>
          <w:marBottom w:val="0"/>
          <w:divBdr>
            <w:top w:val="none" w:sz="0" w:space="0" w:color="auto"/>
            <w:left w:val="none" w:sz="0" w:space="0" w:color="auto"/>
            <w:bottom w:val="none" w:sz="0" w:space="0" w:color="auto"/>
            <w:right w:val="none" w:sz="0" w:space="0" w:color="auto"/>
          </w:divBdr>
        </w:div>
        <w:div w:id="1681157103">
          <w:marLeft w:val="0"/>
          <w:marRight w:val="0"/>
          <w:marTop w:val="0"/>
          <w:marBottom w:val="0"/>
          <w:divBdr>
            <w:top w:val="none" w:sz="0" w:space="0" w:color="auto"/>
            <w:left w:val="none" w:sz="0" w:space="0" w:color="auto"/>
            <w:bottom w:val="none" w:sz="0" w:space="0" w:color="auto"/>
            <w:right w:val="none" w:sz="0" w:space="0" w:color="auto"/>
          </w:divBdr>
        </w:div>
        <w:div w:id="1338313823">
          <w:marLeft w:val="0"/>
          <w:marRight w:val="0"/>
          <w:marTop w:val="0"/>
          <w:marBottom w:val="0"/>
          <w:divBdr>
            <w:top w:val="none" w:sz="0" w:space="0" w:color="auto"/>
            <w:left w:val="none" w:sz="0" w:space="0" w:color="auto"/>
            <w:bottom w:val="none" w:sz="0" w:space="0" w:color="auto"/>
            <w:right w:val="none" w:sz="0" w:space="0" w:color="auto"/>
          </w:divBdr>
        </w:div>
        <w:div w:id="792749258">
          <w:marLeft w:val="0"/>
          <w:marRight w:val="0"/>
          <w:marTop w:val="0"/>
          <w:marBottom w:val="0"/>
          <w:divBdr>
            <w:top w:val="none" w:sz="0" w:space="0" w:color="auto"/>
            <w:left w:val="none" w:sz="0" w:space="0" w:color="auto"/>
            <w:bottom w:val="none" w:sz="0" w:space="0" w:color="auto"/>
            <w:right w:val="none" w:sz="0" w:space="0" w:color="auto"/>
          </w:divBdr>
        </w:div>
        <w:div w:id="1085608033">
          <w:marLeft w:val="0"/>
          <w:marRight w:val="0"/>
          <w:marTop w:val="0"/>
          <w:marBottom w:val="0"/>
          <w:divBdr>
            <w:top w:val="none" w:sz="0" w:space="0" w:color="auto"/>
            <w:left w:val="none" w:sz="0" w:space="0" w:color="auto"/>
            <w:bottom w:val="none" w:sz="0" w:space="0" w:color="auto"/>
            <w:right w:val="none" w:sz="0" w:space="0" w:color="auto"/>
          </w:divBdr>
        </w:div>
        <w:div w:id="1912275068">
          <w:marLeft w:val="0"/>
          <w:marRight w:val="0"/>
          <w:marTop w:val="0"/>
          <w:marBottom w:val="0"/>
          <w:divBdr>
            <w:top w:val="none" w:sz="0" w:space="0" w:color="auto"/>
            <w:left w:val="none" w:sz="0" w:space="0" w:color="auto"/>
            <w:bottom w:val="none" w:sz="0" w:space="0" w:color="auto"/>
            <w:right w:val="none" w:sz="0" w:space="0" w:color="auto"/>
          </w:divBdr>
        </w:div>
        <w:div w:id="250549109">
          <w:marLeft w:val="0"/>
          <w:marRight w:val="0"/>
          <w:marTop w:val="0"/>
          <w:marBottom w:val="0"/>
          <w:divBdr>
            <w:top w:val="none" w:sz="0" w:space="0" w:color="auto"/>
            <w:left w:val="none" w:sz="0" w:space="0" w:color="auto"/>
            <w:bottom w:val="none" w:sz="0" w:space="0" w:color="auto"/>
            <w:right w:val="none" w:sz="0" w:space="0" w:color="auto"/>
          </w:divBdr>
        </w:div>
        <w:div w:id="1856073294">
          <w:marLeft w:val="0"/>
          <w:marRight w:val="0"/>
          <w:marTop w:val="0"/>
          <w:marBottom w:val="0"/>
          <w:divBdr>
            <w:top w:val="none" w:sz="0" w:space="0" w:color="auto"/>
            <w:left w:val="none" w:sz="0" w:space="0" w:color="auto"/>
            <w:bottom w:val="none" w:sz="0" w:space="0" w:color="auto"/>
            <w:right w:val="none" w:sz="0" w:space="0" w:color="auto"/>
          </w:divBdr>
        </w:div>
        <w:div w:id="1632393637">
          <w:marLeft w:val="0"/>
          <w:marRight w:val="0"/>
          <w:marTop w:val="0"/>
          <w:marBottom w:val="0"/>
          <w:divBdr>
            <w:top w:val="none" w:sz="0" w:space="0" w:color="auto"/>
            <w:left w:val="none" w:sz="0" w:space="0" w:color="auto"/>
            <w:bottom w:val="none" w:sz="0" w:space="0" w:color="auto"/>
            <w:right w:val="none" w:sz="0" w:space="0" w:color="auto"/>
          </w:divBdr>
        </w:div>
      </w:divsChild>
    </w:div>
    <w:div w:id="856501140">
      <w:bodyDiv w:val="1"/>
      <w:marLeft w:val="0"/>
      <w:marRight w:val="0"/>
      <w:marTop w:val="0"/>
      <w:marBottom w:val="0"/>
      <w:divBdr>
        <w:top w:val="none" w:sz="0" w:space="0" w:color="auto"/>
        <w:left w:val="none" w:sz="0" w:space="0" w:color="auto"/>
        <w:bottom w:val="none" w:sz="0" w:space="0" w:color="auto"/>
        <w:right w:val="none" w:sz="0" w:space="0" w:color="auto"/>
      </w:divBdr>
    </w:div>
    <w:div w:id="2039233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ijmpr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E7427C-8F4B-487B-940A-AB7F6A387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2359</Words>
  <Characters>13452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Rampyari</cp:lastModifiedBy>
  <cp:revision>5</cp:revision>
  <cp:lastPrinted>2014-05-27T06:14:00Z</cp:lastPrinted>
  <dcterms:created xsi:type="dcterms:W3CDTF">2016-11-08T08:13:00Z</dcterms:created>
  <dcterms:modified xsi:type="dcterms:W3CDTF">2016-11-08T08:34:00Z</dcterms:modified>
</cp:coreProperties>
</file>